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2023年工作重点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600" w:lineRule="exact"/>
        <w:ind w:firstLine="640" w:firstLineChars="200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（一）加强规划引领。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按计划推动“十四五”规划、黄河流域生态保护和高质量发展、深化新旧动能转换推动绿色低碳高质量发展等重大规划和战略实施。开展“十四五”规划实施情况中期评估，研究制定我区《深化新旧动能转换推动绿色低碳高质量发展行动计划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bidi w:val="0"/>
        <w:spacing w:beforeAutospacing="0" w:afterAutospacing="0" w:line="60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（二）提升项目管理服务水平。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精心梳理筛选一批重点项目，提高项目实施的科学性和可行性。全力做好项目建设保障服务工作，定期调度、加强督导，组织好项目集中开工竣工、手续集中办理、项目观摩评比等活动，</w:t>
      </w:r>
      <w:r>
        <w:rPr>
          <w:rFonts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着力提高项目开工率、项目入库率、投资完成率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，确保</w:t>
      </w:r>
      <w:r>
        <w:rPr>
          <w:rFonts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省市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区三级</w:t>
      </w:r>
      <w:r>
        <w:rPr>
          <w:rFonts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重点项目按节点推进，完成任务目标。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600" w:lineRule="exact"/>
        <w:ind w:firstLine="640" w:firstLineChars="200"/>
        <w:jc w:val="both"/>
        <w:outlineLvl w:val="9"/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（三）全力做好对上争取。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紧盯宏观政策动向，围绕上级无偿资金、地方政府专项债、政策性开发性金融工具、等重点领域，高质量</w:t>
      </w:r>
      <w:r>
        <w:rPr>
          <w:rFonts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谋划包装一批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项目。加强对上汇报衔接、左右沟通协调，争取更多项目列入省、市重点，力争中央、省预算内资金和地方政府专项债争取有所提升。</w:t>
      </w:r>
    </w:p>
    <w:p>
      <w:pPr>
        <w:pStyle w:val="4"/>
        <w:ind w:firstLine="640"/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（四）做好经济运行监测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。加强经济运行调度，强化部门协同，及时与部门、镇街</w:t>
      </w:r>
      <w:bookmarkStart w:id="0" w:name="_GoBack"/>
      <w:bookmarkEnd w:id="0"/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沟通对接，紧盯地区生产总值、固定资产投资、居民收入等领域和经济先行指标，精准分析评估经济运行状况，针对趋势性和苗头性问题，及时发现预警、提出对策。</w:t>
      </w:r>
    </w:p>
    <w:p>
      <w:pPr>
        <w:pStyle w:val="4"/>
        <w:ind w:firstLine="640"/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（五）守牢行业安全底线。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抓好油气管道安全、电力设施保护安全、粮食流通安全等安全监管工作，统筹抓好</w:t>
      </w:r>
      <w:r>
        <w:rPr>
          <w:rFonts w:hint="eastAsia" w:ascii="Times New Roman" w:hAnsi="Times New Roman" w:eastAsia="仿宋_GB2312"/>
          <w:b w:val="0"/>
          <w:bCs w:val="0"/>
          <w:color w:val="000000"/>
          <w:spacing w:val="-17"/>
          <w:kern w:val="2"/>
          <w:sz w:val="32"/>
          <w:szCs w:val="32"/>
          <w:highlight w:val="none"/>
          <w:lang w:val="en-US" w:eastAsia="zh-CN" w:bidi="ar-SA"/>
        </w:rPr>
        <w:t>新型城镇化、军民融合、价格、东西扶贫协作等各项工作。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 w:eastAsia="宋体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a2Y8tMAAAAF&#10;AQAADwAAAAAAAAABACAAAAAiAAAAZHJzL2Rvd25yZXYueG1sUEsBAhQAFAAAAAgAh07iQD/15xOv&#10;AQAAdgMAAA4AAAAAAAAAAQAgAAAAI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 w:eastAsia="宋体"/>
                        <w:sz w:val="21"/>
                        <w:szCs w:val="32"/>
                      </w:rPr>
                    </w:pPr>
                    <w:r>
                      <w:rPr>
                        <w:rFonts w:hint="eastAsia" w:ascii="宋体" w:hAnsi="宋体" w:eastAsia="宋体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1"/>
                        <w:szCs w:val="32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OGRkYjQ0YzNlOWEyOGZkOWYxZmE3NmEwMGFjZTAifQ=="/>
  </w:docVars>
  <w:rsids>
    <w:rsidRoot w:val="4B641814"/>
    <w:rsid w:val="0C6D0458"/>
    <w:rsid w:val="1CF57C45"/>
    <w:rsid w:val="48434704"/>
    <w:rsid w:val="4B641814"/>
    <w:rsid w:val="4D8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581</Characters>
  <Lines>0</Lines>
  <Paragraphs>0</Paragraphs>
  <TotalTime>1</TotalTime>
  <ScaleCrop>false</ScaleCrop>
  <LinksUpToDate>false</LinksUpToDate>
  <CharactersWithSpaces>581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2022-12-12T09:27:00Z</dcterms:created>
  <dc:creator>Dea</dc:creator>
  <cp:lastModifiedBy>Dea</cp:lastModifiedBy>
  <cp:lastPrinted>2022-12-12T10:07:00Z</cp:lastPrinted>
  <dcterms:modified xsi:type="dcterms:W3CDTF">2023-03-01T08:19:32Z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E67B788DAD1041569F9C64930EB1E0CD</vt:lpwstr>
  </property>
</Properties>
</file>