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薛城区发改局2023年双随机一公开抽查事项清单</w:t>
      </w:r>
    </w:p>
    <w:tbl>
      <w:tblPr>
        <w:tblStyle w:val="3"/>
        <w:tblW w:w="15620" w:type="dxa"/>
        <w:tblInd w:w="-8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30"/>
        <w:gridCol w:w="1781"/>
        <w:gridCol w:w="1552"/>
        <w:gridCol w:w="4345"/>
        <w:gridCol w:w="1310"/>
        <w:gridCol w:w="2483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抽查内容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抽查方式</w:t>
            </w:r>
          </w:p>
        </w:tc>
        <w:tc>
          <w:tcPr>
            <w:tcW w:w="2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区发展和改革局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工程咨询单位备案信息一致性及其他情况抽查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工程咨询单位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遵守国家法律法规及有关规定的情况；信息备案情况；咨询质量管理制度建立情况；咨询成果质量情况；咨询成果文件档案建立情况；其他应当检查的内容。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一般检查事项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在线监测、现场检查</w:t>
            </w:r>
          </w:p>
        </w:tc>
        <w:tc>
          <w:tcPr>
            <w:tcW w:w="2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《工程咨询行业管理办法》（国家发展改革委令2017年11月第9号）第二十七条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区发展和改革局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节能审查意见落实情况的行政检查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项目建设单位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建设方案落实情况；节能技术措施落实情况；节能管理措施落实情况；能效水平落实情况；能源消费总量落实情况；其他相关内容。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一般检查事项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现场检查、网络检查</w:t>
            </w:r>
          </w:p>
        </w:tc>
        <w:tc>
          <w:tcPr>
            <w:tcW w:w="2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《固定资产投资项目节能审查办法》（国家发展改革委令2016年11月第44号）第十二条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91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区发展和改革局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已开工企业投资备案项目行政检查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已开工备案项目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是否通过全国投资项目在线审批监管平台，如实、及时报送项目开工建设、建设进度、竣工等建设实施基本信息；是否属于实行核准管理的项目；是否按照备案的建设地点、建设规模、建设内容进行建设；是否属于产业政策禁止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投资建设的项目。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一般检查事项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在线监测、现场检查</w:t>
            </w:r>
          </w:p>
        </w:tc>
        <w:tc>
          <w:tcPr>
            <w:tcW w:w="2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《企业投资项目事中事后监管办法》（国家发展改革委令2018年1月第14号）第十六条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区发展和改革局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政府投资重大项目监督管理和招标投标监督检查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政府投资项目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是否按照批复的建设地点、建设规模、建设内容、概算总投资等内容进行建设；项目招标投标是否合法合规等。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一般检查事项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在线监测、现场检查</w:t>
            </w:r>
          </w:p>
        </w:tc>
        <w:tc>
          <w:tcPr>
            <w:tcW w:w="2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1.《政府投资条例》（国务院令2019年4月第712号）第二十七条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2.《山东省实施&lt;中华人民共和国招标投标法&gt;办法》（2005年5月通过）第四条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区发展和改革局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能源行业节能监督检查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能源生产经营单位，能源行业用能单位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建设方案落实情况；节能技术措施落实情况；节能管理措施落实情况；能效水平落实情况；能源消费总量落实情况；其他相关内容。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一般检查事项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现场检查、非现场检查</w:t>
            </w:r>
          </w:p>
        </w:tc>
        <w:tc>
          <w:tcPr>
            <w:tcW w:w="2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  <w:t>《固定资产投资项目节能审查办法》（国家发展改革委令2016年11月第44号）第十二条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MTgyZjc1MmQxZWY2YjE0MTdlMjZjZDUxMjk5YzcifQ=="/>
  </w:docVars>
  <w:rsids>
    <w:rsidRoot w:val="00000000"/>
    <w:rsid w:val="36E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12</TotalTime>
  <ScaleCrop>false</ScaleCrop>
  <LinksUpToDate>false</LinksUpToDate>
  <CharactersWithSpaces>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2023-06-20T14:23:24Z</dcterms:created>
  <dc:creator>DELL</dc:creator>
  <cp:lastModifiedBy>DELL</cp:lastModifiedBy>
  <dcterms:modified xsi:type="dcterms:W3CDTF">2023-06-20T23:34:20Z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AE1CBA2829BA45138C1DA0FE3903926C_12</vt:lpwstr>
  </property>
</Properties>
</file>