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方正小标宋简体" w:hAnsi="黑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养老服务扶持政策办理指南</w:t>
      </w:r>
    </w:p>
    <w:p>
      <w:pPr>
        <w:widowControl/>
        <w:spacing w:line="600" w:lineRule="atLeast"/>
        <w:ind w:firstLine="480"/>
        <w:rPr>
          <w:rFonts w:ascii="仿宋_GB2312" w:hAnsi="黑体" w:eastAsia="仿宋_GB2312" w:cs="宋体"/>
          <w:color w:val="333333"/>
          <w:kern w:val="0"/>
          <w:sz w:val="32"/>
          <w:szCs w:val="32"/>
        </w:rPr>
      </w:pPr>
    </w:p>
    <w:p>
      <w:pPr>
        <w:widowControl/>
        <w:spacing w:line="600" w:lineRule="atLeast"/>
        <w:ind w:firstLine="480"/>
        <w:rPr>
          <w:rFonts w:ascii="黑体" w:hAnsi="黑体" w:eastAsia="黑体" w:cs="宋体"/>
          <w:color w:val="333333"/>
          <w:kern w:val="0"/>
          <w:sz w:val="32"/>
          <w:szCs w:val="32"/>
        </w:rPr>
      </w:pPr>
      <w:r>
        <w:rPr>
          <w:rFonts w:hint="eastAsia" w:ascii="黑体" w:hAnsi="黑体" w:eastAsia="黑体" w:cs="宋体"/>
          <w:color w:val="333333"/>
          <w:kern w:val="0"/>
          <w:sz w:val="32"/>
          <w:szCs w:val="32"/>
        </w:rPr>
        <w:t>一、养老服务扶持政策内容及补贴对象</w:t>
      </w:r>
    </w:p>
    <w:p>
      <w:pPr>
        <w:spacing w:line="600" w:lineRule="exact"/>
        <w:ind w:firstLine="640" w:firstLineChars="200"/>
        <w:rPr>
          <w:rFonts w:ascii="Times New Roman" w:eastAsia="楷体_GB2312"/>
          <w:color w:val="000000" w:themeColor="text1"/>
          <w:sz w:val="32"/>
          <w:szCs w:val="32"/>
          <w14:textFill>
            <w14:solidFill>
              <w14:schemeClr w14:val="tx1"/>
            </w14:solidFill>
          </w14:textFill>
        </w:rPr>
      </w:pPr>
      <w:r>
        <w:rPr>
          <w:rFonts w:hint="eastAsia" w:ascii="楷体_GB2312" w:hAnsi="宋体" w:eastAsia="楷体_GB2312" w:cs="宋体"/>
          <w:color w:val="333333"/>
          <w:kern w:val="0"/>
          <w:sz w:val="32"/>
          <w:szCs w:val="32"/>
        </w:rPr>
        <w:t>（一）省级扶持政策（具体条件及申报材料详见附件1）</w:t>
      </w:r>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1.护理型养老机构一次性建设补助项目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2021年1月1日起，本省行政区域范围内由政府、企业、社会组织、个人，以新建、扩建以及利用自有房产、租赁房屋改建等方式建设的，重点为失能、半失能老年人提供服务的护理型养老机构、养护院、护理院等项目。</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对符合条件的养老机构，按核定护理型床位给予一次性新建、扩建补助或租赁改建补助，每张床位补助标准为8</w:t>
      </w:r>
      <w:r>
        <w:rPr>
          <w:rFonts w:ascii="Times New Roman" w:eastAsia="仿宋_GB2312"/>
          <w:color w:val="000000" w:themeColor="text1"/>
          <w:sz w:val="32"/>
          <w:szCs w:val="32"/>
          <w14:textFill>
            <w14:solidFill>
              <w14:schemeClr w14:val="tx1"/>
            </w14:solidFill>
          </w14:textFill>
        </w:rPr>
        <w:t>000-12000元</w:t>
      </w:r>
      <w:r>
        <w:rPr>
          <w:rFonts w:hint="eastAsia" w:ascii="Times New Roman" w:eastAsia="仿宋_GB2312"/>
          <w:color w:val="000000" w:themeColor="text1"/>
          <w:sz w:val="32"/>
          <w:szCs w:val="32"/>
          <w14:textFill>
            <w14:solidFill>
              <w14:schemeClr w14:val="tx1"/>
            </w14:solidFill>
          </w14:textFill>
        </w:rPr>
        <w:t>。</w:t>
      </w:r>
    </w:p>
    <w:p>
      <w:pPr>
        <w:widowControl/>
        <w:shd w:val="clear" w:color="auto" w:fill="FFFFFF"/>
        <w:spacing w:line="600" w:lineRule="exact"/>
        <w:ind w:firstLine="643" w:firstLineChars="200"/>
        <w:jc w:val="lef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2.特困人员供养设施（敬老院）一次性建设补助项目</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2021年1月1日起，本省行政区域范围内政府以独资、合资、合作等方式，新建或依托现有敬老院设施扩建、改造提升的，以失能、半失能特困人员专业照护为主的特困人员供养设施（敬老院）</w:t>
      </w:r>
      <w:r>
        <w:rPr>
          <w:rFonts w:ascii="Times New Roman" w:eastAsia="仿宋_GB2312"/>
          <w:color w:val="000000" w:themeColor="text1"/>
          <w:sz w:val="32"/>
          <w:szCs w:val="32"/>
          <w14:textFill>
            <w14:solidFill>
              <w14:schemeClr w14:val="tx1"/>
            </w14:solidFill>
          </w14:textFill>
        </w:rPr>
        <w:t>。</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补助标准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对符合条件的特困人员供养设施（敬老院），按核定护理型床位给予一次性建设补助或改造提升补助。每张新建、扩建床位补助标准为8000</w:t>
      </w:r>
      <w:r>
        <w:rPr>
          <w:rFonts w:ascii="Times New Roman" w:eastAsia="仿宋_GB2312"/>
          <w:color w:val="000000" w:themeColor="text1"/>
          <w:sz w:val="32"/>
          <w:szCs w:val="32"/>
          <w14:textFill>
            <w14:solidFill>
              <w14:schemeClr w14:val="tx1"/>
            </w14:solidFill>
          </w14:textFill>
        </w:rPr>
        <w:t>-12000</w:t>
      </w:r>
      <w:r>
        <w:rPr>
          <w:rFonts w:hint="eastAsia" w:ascii="Times New Roman" w:eastAsia="仿宋_GB2312"/>
          <w:color w:val="000000" w:themeColor="text1"/>
          <w:sz w:val="32"/>
          <w:szCs w:val="32"/>
          <w14:textFill>
            <w14:solidFill>
              <w14:schemeClr w14:val="tx1"/>
            </w14:solidFill>
          </w14:textFill>
        </w:rPr>
        <w:t>元，改造提升床位补助标准为2400</w:t>
      </w:r>
      <w:r>
        <w:rPr>
          <w:rFonts w:ascii="Times New Roman" w:eastAsia="仿宋_GB2312"/>
          <w:color w:val="000000" w:themeColor="text1"/>
          <w:sz w:val="32"/>
          <w:szCs w:val="32"/>
          <w14:textFill>
            <w14:solidFill>
              <w14:schemeClr w14:val="tx1"/>
            </w14:solidFill>
          </w14:textFill>
        </w:rPr>
        <w:t>-3600</w:t>
      </w:r>
      <w:r>
        <w:rPr>
          <w:rFonts w:hint="eastAsia" w:ascii="Times New Roman" w:eastAsia="仿宋_GB2312"/>
          <w:color w:val="000000" w:themeColor="text1"/>
          <w:sz w:val="32"/>
          <w:szCs w:val="32"/>
          <w14:textFill>
            <w14:solidFill>
              <w14:schemeClr w14:val="tx1"/>
            </w14:solidFill>
          </w14:textFill>
        </w:rPr>
        <w:t>元。</w:t>
      </w:r>
    </w:p>
    <w:p>
      <w:pPr>
        <w:widowControl/>
        <w:shd w:val="clear" w:color="auto" w:fill="FFFFFF"/>
        <w:spacing w:line="600" w:lineRule="exact"/>
        <w:ind w:firstLine="643" w:firstLineChars="200"/>
        <w:jc w:val="lef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w:t>
      </w:r>
      <w:r>
        <w:rPr>
          <w:rFonts w:ascii="仿宋_GB2312" w:eastAsia="仿宋_GB2312"/>
          <w:b/>
          <w:color w:val="000000" w:themeColor="text1"/>
          <w:sz w:val="32"/>
          <w:szCs w:val="32"/>
          <w14:textFill>
            <w14:solidFill>
              <w14:schemeClr w14:val="tx1"/>
            </w14:solidFill>
          </w14:textFill>
        </w:rPr>
        <w:t>养老机构运营补助项目</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补助</w:t>
      </w:r>
      <w:r>
        <w:rPr>
          <w:rFonts w:ascii="黑体" w:hAnsi="黑体" w:eastAsia="黑体"/>
          <w:color w:val="000000" w:themeColor="text1"/>
          <w:sz w:val="32"/>
          <w:szCs w:val="32"/>
          <w14:textFill>
            <w14:solidFill>
              <w14:schemeClr w14:val="tx1"/>
            </w14:solidFill>
          </w14:textFill>
        </w:rPr>
        <w:t>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本省行政区域范围内已投入运营，重点为失能、半失能老年人提供服务的民办养老机构、委托第三方运营的公办养老机构、政府与第三方合资合作养老机构，补助对象为实际运营方</w:t>
      </w:r>
      <w:r>
        <w:rPr>
          <w:rFonts w:ascii="Times New Roman" w:eastAsia="仿宋_GB2312"/>
          <w:color w:val="000000" w:themeColor="text1"/>
          <w:sz w:val="32"/>
          <w:szCs w:val="32"/>
          <w14:textFill>
            <w14:solidFill>
              <w14:schemeClr w14:val="tx1"/>
            </w14:solidFill>
          </w14:textFill>
        </w:rPr>
        <w:t>。</w:t>
      </w:r>
    </w:p>
    <w:p>
      <w:pPr>
        <w:widowControl/>
        <w:shd w:val="clear" w:color="auto" w:fill="FFFFFF"/>
        <w:spacing w:line="600" w:lineRule="exact"/>
        <w:ind w:firstLine="640" w:firstLineChars="200"/>
        <w:jc w:val="left"/>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补助</w:t>
      </w:r>
      <w:r>
        <w:rPr>
          <w:rFonts w:ascii="黑体" w:hAnsi="黑体" w:eastAsia="黑体"/>
          <w:color w:val="000000" w:themeColor="text1"/>
          <w:sz w:val="32"/>
          <w:szCs w:val="32"/>
          <w14:textFill>
            <w14:solidFill>
              <w14:schemeClr w14:val="tx1"/>
            </w14:solidFill>
          </w14:textFill>
        </w:rPr>
        <w:t>标准</w:t>
      </w:r>
      <w:r>
        <w:rPr>
          <w:rFonts w:hint="eastAsia" w:ascii="黑体" w:hAnsi="黑体" w:eastAsia="黑体"/>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对符合条件的民办和委托第三方运营的公办养老机构，根据收住的中度、重度的老</w:t>
      </w:r>
      <w:r>
        <w:rPr>
          <w:rFonts w:ascii="Times New Roman" w:eastAsia="仿宋_GB2312"/>
          <w:sz w:val="32"/>
          <w:szCs w:val="32"/>
        </w:rPr>
        <w:t>年人数进行</w:t>
      </w:r>
      <w:r>
        <w:rPr>
          <w:rFonts w:ascii="Times New Roman" w:eastAsia="仿宋_GB2312"/>
          <w:color w:val="000000" w:themeColor="text1"/>
          <w:sz w:val="32"/>
          <w:szCs w:val="32"/>
          <w14:textFill>
            <w14:solidFill>
              <w14:schemeClr w14:val="tx1"/>
            </w14:solidFill>
          </w14:textFill>
        </w:rPr>
        <w:t>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pPr>
        <w:widowControl/>
        <w:shd w:val="clear" w:color="auto" w:fill="FFFFFF"/>
        <w:spacing w:line="600" w:lineRule="exact"/>
        <w:ind w:firstLine="643" w:firstLineChars="200"/>
        <w:jc w:val="left"/>
        <w:rPr>
          <w:rFonts w:ascii="Times New Roman" w:eastAsia="楷体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4</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社区老年人日间照料中心、农村幸福院运营奖补项目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奖补范围</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本省行政区域范围内由街道、社区、村（居）委会、个人或社会力量运营，为老年人提供日间照料、文化娱乐、精神慰藉等服务的社区老年人日间照料中心、农村幸福院，补助对象为实际运营方。</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对符合条件的社区老年人日间照料中心、农村幸福院， 省级分别按照每处每年不高于12000元、6000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hAnsi="黑体" w:eastAsia="仿宋_GB2312"/>
          <w:b/>
          <w:sz w:val="32"/>
          <w:szCs w:val="32"/>
        </w:rPr>
        <w:t>5.</w:t>
      </w:r>
      <w:r>
        <w:rPr>
          <w:rFonts w:hint="eastAsia" w:ascii="仿宋_GB2312" w:eastAsia="仿宋_GB2312"/>
          <w:b/>
          <w:color w:val="000000" w:themeColor="text1"/>
          <w:sz w:val="32"/>
          <w:szCs w:val="32"/>
          <w14:textFill>
            <w14:solidFill>
              <w14:schemeClr w14:val="tx1"/>
            </w14:solidFill>
          </w14:textFill>
        </w:rPr>
        <w:t>院校设立养老服务相关专业奖补项目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奖补</w:t>
      </w:r>
      <w:r>
        <w:rPr>
          <w:rFonts w:ascii="黑体" w:hAnsi="黑体" w:eastAsia="黑体"/>
          <w:color w:val="000000" w:themeColor="text1"/>
          <w:sz w:val="32"/>
          <w:szCs w:val="32"/>
          <w14:textFill>
            <w14:solidFill>
              <w14:schemeClr w14:val="tx1"/>
            </w14:solidFill>
          </w14:textFill>
        </w:rPr>
        <w:t>对象</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本省行政区域范围内经有关主管部门批准设立养老服务相关专业，能够开展正常教学的高等院校、市级及以上中等职业学校（含技工院校）。</w:t>
      </w:r>
    </w:p>
    <w:p>
      <w:pPr>
        <w:spacing w:line="600" w:lineRule="exact"/>
        <w:ind w:firstLine="640" w:firstLineChars="200"/>
        <w:rPr>
          <w:rFonts w:ascii="Times New Roman"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对符合条件的高等院校、中等职业学校（含技工院校），省级对每处分别给予 100 万元、80万元一次性奖补。</w:t>
      </w:r>
    </w:p>
    <w:p>
      <w:pPr>
        <w:spacing w:line="60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6.大中专毕业生入职养老服务一次性奖补项目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奖补</w:t>
      </w:r>
      <w:r>
        <w:rPr>
          <w:rFonts w:ascii="黑体" w:hAnsi="黑体" w:eastAsia="黑体"/>
          <w:color w:val="000000" w:themeColor="text1"/>
          <w:sz w:val="32"/>
          <w:szCs w:val="32"/>
          <w14:textFill>
            <w14:solidFill>
              <w14:schemeClr w14:val="tx1"/>
            </w14:solidFill>
          </w14:textFill>
        </w:rPr>
        <w:t>对象</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本省行政区域范围内在养老机构和社区养老服务机构从事护理、医疗、康复、社工一线岗位工作，持有本科及以上、专科（高职）、中职（技工院校）毕业证书的专职养老服务人员，事业单位在编人员不在奖补范围内。</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规定条件的本科及以上、专科（高职）、中职（技工院校）毕业入职人员，分别给予2万元、1.5万元、1万元的一次性入职奖补。入职奖补申请人与养老服务机构签订5年以上劳动合同，入职满一年、两年、三年分别按照奖补标准的40%、30%、30%比例发放。</w:t>
      </w:r>
    </w:p>
    <w:p>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7.养老护理员职业技能等级奖补项目</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奖补</w:t>
      </w:r>
      <w:r>
        <w:rPr>
          <w:rFonts w:ascii="黑体" w:hAnsi="黑体" w:eastAsia="黑体"/>
          <w:color w:val="000000" w:themeColor="text1"/>
          <w:sz w:val="32"/>
          <w:szCs w:val="32"/>
          <w14:textFill>
            <w14:solidFill>
              <w14:schemeClr w14:val="tx1"/>
            </w14:solidFill>
          </w14:textFill>
        </w:rPr>
        <w:t>对象</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2021年1月1日以来，本省行政区域范围内养老机构和社区养老服务机构中取得职业技能等级三级/高级工、二级/技师、一级/高级技师等级的养老护理员，事业单位在编人员不在奖补范围内。</w:t>
      </w:r>
    </w:p>
    <w:p>
      <w:pPr>
        <w:spacing w:line="600" w:lineRule="exact"/>
        <w:ind w:firstLine="640" w:firstLineChars="200"/>
        <w:rPr>
          <w:rFonts w:ascii="Times New Roman" w:eastAsia="仿宋_GB2312"/>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奖补标准</w:t>
      </w:r>
      <w:r>
        <w:rPr>
          <w:rFonts w:hint="eastAsia" w:ascii="黑体" w:hAnsi="黑体" w:eastAsia="黑体"/>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tbl>
      <w:tblPr>
        <w:tblStyle w:val="5"/>
        <w:tblW w:w="4750" w:type="pct"/>
        <w:jc w:val="center"/>
        <w:tblCellSpacing w:w="0" w:type="dxa"/>
        <w:tblLayout w:type="autofit"/>
        <w:tblCellMar>
          <w:top w:w="0" w:type="dxa"/>
          <w:left w:w="0" w:type="dxa"/>
          <w:bottom w:w="0" w:type="dxa"/>
          <w:right w:w="0" w:type="dxa"/>
        </w:tblCellMar>
      </w:tblPr>
      <w:tblGrid>
        <w:gridCol w:w="8402"/>
      </w:tblGrid>
      <w:tr>
        <w:tblPrEx>
          <w:tblCellMar>
            <w:top w:w="0" w:type="dxa"/>
            <w:left w:w="0" w:type="dxa"/>
            <w:bottom w:w="0" w:type="dxa"/>
            <w:right w:w="0" w:type="dxa"/>
          </w:tblCellMar>
        </w:tblPrEx>
        <w:trPr>
          <w:trHeight w:val="5434" w:hRule="atLeast"/>
          <w:tblCellSpacing w:w="0" w:type="dxa"/>
          <w:jc w:val="center"/>
        </w:trPr>
        <w:tc>
          <w:tcPr>
            <w:tcW w:w="0" w:type="auto"/>
          </w:tcPr>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二、办理流程及时限要求</w:t>
            </w:r>
          </w:p>
          <w:p>
            <w:pPr>
              <w:widowControl/>
              <w:spacing w:line="600" w:lineRule="atLeast"/>
              <w:ind w:firstLine="480"/>
              <w:rPr>
                <w:rFonts w:ascii="楷体_GB2312" w:hAnsi="宋体" w:eastAsia="楷体_GB2312" w:cs="宋体"/>
                <w:kern w:val="0"/>
                <w:sz w:val="32"/>
                <w:szCs w:val="32"/>
              </w:rPr>
            </w:pPr>
            <w:r>
              <w:rPr>
                <w:rFonts w:hint="eastAsia" w:ascii="楷体_GB2312" w:hAnsi="宋体" w:eastAsia="楷体_GB2312" w:cs="宋体"/>
                <w:kern w:val="0"/>
                <w:sz w:val="32"/>
                <w:szCs w:val="32"/>
              </w:rPr>
              <w:t>（一）省级扶持政策办理流程</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省级资助项目按照随时受理、及时审批、即时拨付、年底结算的原则，依托省养老服务管理平台进行申请、审批，规范高效推进项目审批。</w:t>
            </w:r>
          </w:p>
          <w:p>
            <w:pPr>
              <w:widowControl/>
              <w:spacing w:line="600" w:lineRule="atLeast"/>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各级民政部门根据项目审批职责，分类受理有关补助申请（含县级初审结果申报），于受理之日起 10 个工作日内自行或委托第三方完成材料审核和现场勘查，同步录入省养老管理平台。对民政部门已经掌握的和通过数据共享能够获取的相关证明材料，应免予提供。对各级审批通过的补助项目和补助金额，通过民政系统网站或其他公共媒体进行为期5天的公示。经公示无异议的，报当地财政部门拨付补助资金。</w:t>
            </w:r>
          </w:p>
          <w:p>
            <w:pPr>
              <w:pStyle w:val="4"/>
              <w:shd w:val="clear" w:color="auto" w:fill="FFFFFF"/>
              <w:spacing w:before="0" w:beforeAutospacing="0" w:after="0" w:afterAutospacing="0"/>
              <w:ind w:firstLine="480"/>
              <w:jc w:val="both"/>
              <w:rPr>
                <w:rFonts w:ascii="黑体" w:hAnsi="黑体" w:eastAsia="黑体"/>
                <w:b/>
                <w:sz w:val="32"/>
                <w:szCs w:val="32"/>
              </w:rPr>
            </w:pPr>
            <w:r>
              <w:rPr>
                <w:rStyle w:val="7"/>
                <w:rFonts w:hint="eastAsia" w:ascii="黑体" w:hAnsi="黑体" w:eastAsia="黑体"/>
                <w:b w:val="0"/>
                <w:sz w:val="32"/>
                <w:szCs w:val="32"/>
              </w:rPr>
              <w:t>三、办理地点及联系电话</w:t>
            </w:r>
          </w:p>
          <w:p>
            <w:pPr>
              <w:pStyle w:val="4"/>
              <w:shd w:val="clear" w:color="auto" w:fill="FFFFFF"/>
              <w:spacing w:before="0" w:beforeAutospacing="0" w:after="0" w:afterAutospacing="0"/>
              <w:ind w:firstLine="480"/>
              <w:jc w:val="both"/>
              <w:rPr>
                <w:rFonts w:hint="default" w:ascii="仿宋_GB2312" w:hAnsi="微软雅黑" w:eastAsia="仿宋_GB2312"/>
                <w:bCs/>
                <w:color w:val="FF0000"/>
                <w:sz w:val="32"/>
                <w:szCs w:val="32"/>
                <w:lang w:val="en-US" w:eastAsia="zh-CN"/>
              </w:rPr>
            </w:pPr>
            <w:r>
              <w:rPr>
                <w:rFonts w:hint="eastAsia" w:ascii="仿宋_GB2312" w:hAnsi="微软雅黑" w:eastAsia="仿宋_GB2312"/>
                <w:bCs/>
                <w:color w:val="FF0000"/>
                <w:sz w:val="32"/>
                <w:szCs w:val="32"/>
              </w:rPr>
              <w:t>办理单位：</w:t>
            </w:r>
            <w:r>
              <w:rPr>
                <w:rFonts w:hint="eastAsia" w:ascii="仿宋_GB2312" w:hAnsi="微软雅黑" w:eastAsia="仿宋_GB2312"/>
                <w:bCs/>
                <w:color w:val="FF0000"/>
                <w:sz w:val="32"/>
                <w:szCs w:val="32"/>
                <w:lang w:val="en-US" w:eastAsia="zh-CN"/>
              </w:rPr>
              <w:t>薛城区民政局养老服务办公室</w:t>
            </w:r>
          </w:p>
          <w:p>
            <w:pPr>
              <w:pStyle w:val="4"/>
              <w:shd w:val="clear" w:color="auto" w:fill="FFFFFF"/>
              <w:spacing w:before="0" w:beforeAutospacing="0" w:after="0" w:afterAutospacing="0"/>
              <w:ind w:firstLine="480"/>
              <w:jc w:val="both"/>
              <w:rPr>
                <w:rFonts w:hint="default" w:ascii="仿宋_GB2312" w:hAnsi="微软雅黑" w:eastAsia="仿宋_GB2312"/>
                <w:bCs/>
                <w:color w:val="FF0000"/>
                <w:sz w:val="32"/>
                <w:szCs w:val="32"/>
                <w:lang w:val="en-US" w:eastAsia="zh-CN"/>
              </w:rPr>
            </w:pPr>
            <w:r>
              <w:rPr>
                <w:rFonts w:hint="eastAsia" w:ascii="仿宋_GB2312" w:hAnsi="微软雅黑" w:eastAsia="仿宋_GB2312"/>
                <w:bCs/>
                <w:color w:val="FF0000"/>
                <w:sz w:val="32"/>
                <w:szCs w:val="32"/>
              </w:rPr>
              <w:t>办理地址：</w:t>
            </w:r>
            <w:r>
              <w:rPr>
                <w:rFonts w:hint="eastAsia" w:ascii="仿宋_GB2312" w:hAnsi="微软雅黑" w:eastAsia="仿宋_GB2312"/>
                <w:bCs/>
                <w:color w:val="FF0000"/>
                <w:sz w:val="32"/>
                <w:szCs w:val="32"/>
                <w:lang w:val="en-US" w:eastAsia="zh-CN"/>
              </w:rPr>
              <w:t>薛城区湘江路仲建商务广场</w:t>
            </w:r>
          </w:p>
          <w:p>
            <w:pPr>
              <w:pStyle w:val="4"/>
              <w:shd w:val="clear" w:color="auto" w:fill="FFFFFF"/>
              <w:spacing w:before="0" w:beforeAutospacing="0" w:after="0" w:afterAutospacing="0"/>
              <w:ind w:firstLine="480"/>
              <w:jc w:val="both"/>
              <w:rPr>
                <w:rFonts w:hint="default" w:ascii="仿宋_GB2312" w:hAnsi="微软雅黑" w:eastAsia="仿宋_GB2312"/>
                <w:bCs/>
                <w:color w:val="FF0000"/>
                <w:sz w:val="32"/>
                <w:szCs w:val="32"/>
                <w:lang w:val="en-US" w:eastAsia="zh-CN"/>
              </w:rPr>
            </w:pPr>
            <w:r>
              <w:rPr>
                <w:rFonts w:hint="eastAsia" w:ascii="仿宋_GB2312" w:hAnsi="微软雅黑" w:eastAsia="仿宋_GB2312"/>
                <w:bCs/>
                <w:color w:val="FF0000"/>
                <w:sz w:val="32"/>
                <w:szCs w:val="32"/>
              </w:rPr>
              <w:t>联系电话：</w:t>
            </w:r>
            <w:r>
              <w:rPr>
                <w:rFonts w:hint="eastAsia" w:ascii="仿宋_GB2312" w:hAnsi="微软雅黑" w:eastAsia="仿宋_GB2312"/>
                <w:bCs/>
                <w:color w:val="FF0000"/>
                <w:sz w:val="32"/>
                <w:szCs w:val="32"/>
                <w:lang w:val="en-US" w:eastAsia="zh-CN"/>
              </w:rPr>
              <w:t>4480669</w:t>
            </w:r>
          </w:p>
          <w:p>
            <w:pPr>
              <w:pStyle w:val="4"/>
              <w:shd w:val="clear" w:color="auto" w:fill="FFFFFF"/>
              <w:spacing w:before="0" w:beforeAutospacing="0" w:after="0" w:afterAutospacing="0"/>
              <w:ind w:firstLine="480"/>
              <w:jc w:val="both"/>
              <w:rPr>
                <w:rFonts w:ascii="黑体" w:hAnsi="黑体" w:eastAsia="黑体"/>
                <w:b/>
                <w:sz w:val="32"/>
                <w:szCs w:val="32"/>
              </w:rPr>
            </w:pPr>
            <w:r>
              <w:rPr>
                <w:rStyle w:val="7"/>
                <w:rFonts w:hint="eastAsia" w:ascii="黑体" w:hAnsi="黑体" w:eastAsia="黑体"/>
                <w:b w:val="0"/>
                <w:sz w:val="32"/>
                <w:szCs w:val="32"/>
              </w:rPr>
              <w:t>四、办理时间</w:t>
            </w:r>
          </w:p>
          <w:p>
            <w:pPr>
              <w:pStyle w:val="4"/>
              <w:shd w:val="clear" w:color="auto" w:fill="FFFFFF"/>
              <w:spacing w:before="0" w:beforeAutospacing="0" w:after="0" w:afterAutospacing="0"/>
              <w:ind w:firstLine="480"/>
              <w:jc w:val="both"/>
              <w:rPr>
                <w:rFonts w:hint="default" w:ascii="仿宋_GB2312" w:hAnsi="微软雅黑" w:eastAsia="仿宋_GB2312"/>
                <w:sz w:val="32"/>
                <w:szCs w:val="32"/>
                <w:lang w:val="en-US" w:eastAsia="zh-CN"/>
              </w:rPr>
            </w:pPr>
            <w:r>
              <w:rPr>
                <w:rFonts w:hint="eastAsia" w:ascii="仿宋_GB2312" w:hAnsi="微软雅黑" w:eastAsia="仿宋_GB2312"/>
                <w:sz w:val="32"/>
                <w:szCs w:val="32"/>
              </w:rPr>
              <w:t>周一至周五：上午9:00-12:00，下午13:</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rPr>
              <w:t>—17:</w:t>
            </w:r>
            <w:r>
              <w:rPr>
                <w:rFonts w:hint="eastAsia" w:ascii="仿宋_GB2312" w:hAnsi="微软雅黑" w:eastAsia="仿宋_GB2312"/>
                <w:sz w:val="32"/>
                <w:szCs w:val="32"/>
                <w:lang w:val="en-US" w:eastAsia="zh-CN"/>
              </w:rPr>
              <w:t>30</w:t>
            </w:r>
            <w:bookmarkStart w:id="0" w:name="_GoBack"/>
            <w:bookmarkEnd w:id="0"/>
          </w:p>
          <w:p>
            <w:pPr>
              <w:widowControl/>
              <w:shd w:val="clear" w:color="auto" w:fill="FFFFFF"/>
              <w:spacing w:line="360" w:lineRule="atLeast"/>
              <w:ind w:firstLine="480"/>
              <w:jc w:val="left"/>
              <w:rPr>
                <w:rFonts w:ascii="黑体" w:hAnsi="黑体" w:eastAsia="黑体" w:cs="宋体"/>
                <w:kern w:val="0"/>
                <w:sz w:val="32"/>
                <w:szCs w:val="32"/>
              </w:rPr>
            </w:pPr>
          </w:p>
        </w:tc>
      </w:tr>
    </w:tbl>
    <w:p>
      <w:pPr>
        <w:rPr>
          <w:sz w:val="32"/>
          <w:szCs w:val="32"/>
        </w:rPr>
      </w:pPr>
    </w:p>
    <w:p>
      <w:pPr>
        <w:spacing w:line="600" w:lineRule="exact"/>
        <w:ind w:firstLine="640" w:firstLineChars="200"/>
        <w:rPr>
          <w:rFonts w:ascii="Times New Roman" w:eastAsia="黑体"/>
          <w:color w:val="000000" w:themeColor="text1"/>
          <w:sz w:val="32"/>
          <w:szCs w:val="32"/>
          <w14:textFill>
            <w14:solidFill>
              <w14:schemeClr w14:val="tx1"/>
            </w14:solidFill>
          </w14:textFill>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82"/>
    <w:rsid w:val="00006488"/>
    <w:rsid w:val="000C1501"/>
    <w:rsid w:val="00182DB6"/>
    <w:rsid w:val="00192EF8"/>
    <w:rsid w:val="002460C2"/>
    <w:rsid w:val="004F7FBC"/>
    <w:rsid w:val="00522EE4"/>
    <w:rsid w:val="0072708B"/>
    <w:rsid w:val="008A33BF"/>
    <w:rsid w:val="008D18B2"/>
    <w:rsid w:val="00971540"/>
    <w:rsid w:val="009D758E"/>
    <w:rsid w:val="00BC60E0"/>
    <w:rsid w:val="00C40F59"/>
    <w:rsid w:val="00C56D9B"/>
    <w:rsid w:val="00D21D70"/>
    <w:rsid w:val="00D30172"/>
    <w:rsid w:val="00F75E82"/>
    <w:rsid w:val="00FF77E7"/>
    <w:rsid w:val="202C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307</Words>
  <Characters>1751</Characters>
  <Lines>14</Lines>
  <Paragraphs>4</Paragraphs>
  <TotalTime>176</TotalTime>
  <ScaleCrop>false</ScaleCrop>
  <LinksUpToDate>false</LinksUpToDate>
  <CharactersWithSpaces>2054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2021-04-13T03:47:00Z</dcterms:created>
  <dc:creator>MZT</dc:creator>
  <cp:lastModifiedBy>pc-0</cp:lastModifiedBy>
  <dcterms:modified xsi:type="dcterms:W3CDTF">2021-04-14T06:23:03Z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55415F00F1D64CEA9AFB6BA57031D7D9</vt:lpwstr>
  </property>
</Properties>
</file>