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薛城区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普惠性养老机构认定结果公示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根据山东省民政厅、山东省发展和改革委员会《山东省普惠性养老机构认定与管理办法（试行）》（鲁民〔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2024〕35号）和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枣庄市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民政局、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枣庄市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发展和改革委员会《关于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印发&lt;枣庄市普惠性养老机构认定与管理办法（试行）&gt;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枣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2024〕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号）等有关精神，结合我区实际，现将普惠性养老机构认定结果予以公示。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机构名单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955"/>
        <w:gridCol w:w="340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现有星级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颐家乐康养老服务 （枣庄）有限公司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常庄街道金河下于村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枣庄市薛城区弯槐树村养老服务中心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周营镇湾槐树村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枣庄市锡安养老服务有限公司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常庄街道石坝村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枣庄市金馨养老服务有限公司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临城街道清泉小区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枣庄市依邦居民服务有限公司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常庄街道大辛庄村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山东福顺康养老服务有限公司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临城街道福泉小区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枣庄市家和养老服务有限公司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陶庄镇文艺街社区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枣庄温馨老年公寓有限公司</w:t>
            </w:r>
          </w:p>
        </w:tc>
        <w:tc>
          <w:tcPr>
            <w:tcW w:w="34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临城街道东丁社区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一级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收费标准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普惠性养老机构床位费、照料护理费收费标准根据自理能力评估结果按照养老机构不同星级、护理等级等，实行分级管理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                             </w:t>
      </w:r>
    </w:p>
    <w:tbl>
      <w:tblPr>
        <w:tblStyle w:val="3"/>
        <w:tblW w:w="904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950"/>
        <w:gridCol w:w="1065"/>
        <w:gridCol w:w="1095"/>
        <w:gridCol w:w="1095"/>
        <w:gridCol w:w="1065"/>
        <w:gridCol w:w="10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收费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服务类型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一星级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二星级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三星级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四星级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五星级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床位费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元/月.床.人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单人间、双人间、多人间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450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750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0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照料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护理费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元/月.人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自理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450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550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半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自理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550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650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850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1100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完全不能自理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1100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1300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2500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2700</w:t>
            </w:r>
          </w:p>
        </w:tc>
      </w:tr>
    </w:tbl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上述收费标准均为最高指导价，具体收费情况由养老机构与入住老年人或其家属（代理人）以合同形式约定，但不能高于最高指导价。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公示期为5个工作日（2025年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—2025年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日)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对评定结果有异议的请于公示期间向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薛城区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民政局反映。联系电话：0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632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4480669。电子邮箱：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mzj4412441@zz.shandong.cn。</w:t>
      </w:r>
    </w:p>
    <w:p>
      <w:pPr>
        <w:ind w:firstLine="640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薛城区民政局</w:t>
      </w:r>
    </w:p>
    <w:p>
      <w:pPr>
        <w:ind w:firstLine="640" w:firstLineChars="200"/>
        <w:jc w:val="righ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2025年12月23日</w:t>
      </w:r>
    </w:p>
    <w:p>
      <w:pPr>
        <w:ind w:firstLine="640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27686"/>
    <w:rsid w:val="1D767107"/>
    <w:rsid w:val="21F27686"/>
    <w:rsid w:val="2FFE2AB2"/>
    <w:rsid w:val="3039112E"/>
    <w:rsid w:val="38764258"/>
    <w:rsid w:val="4A21650F"/>
    <w:rsid w:val="79585A26"/>
    <w:rsid w:val="7FFB270E"/>
    <w:rsid w:val="EDE9E22D"/>
    <w:rsid w:val="F7F36C27"/>
    <w:rsid w:val="FEF5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763</Characters>
  <Lines>0</Lines>
  <Paragraphs>0</Paragraphs>
  <TotalTime>7</TotalTime>
  <ScaleCrop>false</ScaleCrop>
  <LinksUpToDate>false</LinksUpToDate>
  <CharactersWithSpaces>793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2025-12-22T16:43:00Z</dcterms:created>
  <dc:creator>明天更美好</dc:creator>
  <cp:lastModifiedBy>user</cp:lastModifiedBy>
  <dcterms:modified xsi:type="dcterms:W3CDTF">2025-12-23T10:59:23Z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F892BAA0D413466FAAC9022116B931C3_11</vt:lpwstr>
  </property>
  <property fmtid="{D5CDD505-2E9C-101B-9397-08002B2CF9AE}" pid="4" name="KSOTemplateDocerSaveRecord">
    <vt:lpwstr>eyJoZGlkIjoiNTYzNDIwOGYzZWViYjhlMzIxYTVkYTMzNmQwMzNhMDIiLCJ1c2VySWQiOiI1MTE3NTExNjIifQ==</vt:lpwstr>
  </property>
</Properties>
</file>