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600" w:lineRule="exact"/>
        <w:jc w:val="both"/>
        <w:textAlignment w:val="auto"/>
        <w:rPr>
          <w:rFonts w:hint="eastAsia" w:ascii="Times New Roman" w:hAnsi="Times New Roman" w:eastAsia="仿宋_GB2312" w:cs="仿宋_GB2312"/>
          <w:i w:val="0"/>
          <w:iCs w:val="0"/>
          <w:caps w:val="0"/>
          <w:color w:val="000000"/>
          <w:spacing w:val="0"/>
          <w:sz w:val="32"/>
          <w:szCs w:val="32"/>
          <w:shd w:val="clear" w:fill="FFFFFF"/>
          <w:lang w:val="en-US" w:eastAsia="zh-CN"/>
        </w:rPr>
        <w:sectPr>
          <w:footerReference r:id="rId3" w:type="default"/>
          <w:type w:val="continuous"/>
          <w:pgSz w:w="11906" w:h="16838"/>
          <w:pgMar w:top="1984" w:right="1474" w:bottom="1984" w:left="1474" w:header="851" w:footer="992" w:gutter="0"/>
          <w:pgNumType w:fmt="decimal"/>
          <w:cols w:space="425" w:num="1"/>
          <w:docGrid w:type="lines" w:linePitch="312" w:charSpace="0"/>
        </w:sectPr>
      </w:pP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80" w:lineRule="exact"/>
        <w:textAlignment w:val="auto"/>
        <w:rPr>
          <w:rFonts w:hint="default"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附件1</w:t>
      </w:r>
    </w:p>
    <w:p>
      <w:pPr>
        <w:pStyle w:val="2"/>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textAlignment w:val="auto"/>
        <w:rPr>
          <w:rFonts w:hint="eastAsia" w:ascii="Times New Roman" w:hAnsi="Times New Roman" w:eastAsia="方正小标宋简体" w:cs="方正小标宋简体"/>
          <w:lang w:val="en-US" w:eastAsia="zh-CN"/>
        </w:rPr>
      </w:pPr>
    </w:p>
    <w:p>
      <w:pPr>
        <w:pStyle w:val="2"/>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textAlignment w:val="auto"/>
        <w:rPr>
          <w:rFonts w:hint="eastAsia" w:ascii="Times New Roman" w:hAnsi="Times New Roman" w:eastAsia="方正小标宋简体" w:cs="方正小标宋简体"/>
        </w:rPr>
      </w:pPr>
      <w:r>
        <w:rPr>
          <w:rFonts w:hint="eastAsia" w:ascii="Times New Roman" w:hAnsi="Times New Roman" w:eastAsia="方正小标宋简体" w:cs="方正小标宋简体"/>
          <w:lang w:val="en-US" w:eastAsia="zh-CN"/>
        </w:rPr>
        <w:t>中国石油大学（华东）招生简章</w:t>
      </w:r>
      <w:r>
        <w:rPr>
          <w:rFonts w:hint="eastAsia" w:ascii="Times New Roman" w:hAnsi="Times New Roman" w:cs="方正小标宋简体"/>
          <w:lang w:val="en-US" w:eastAsia="zh-CN"/>
        </w:rPr>
        <w:t>——</w:t>
      </w:r>
    </w:p>
    <w:p>
      <w:pPr>
        <w:pStyle w:val="2"/>
        <w:keepNext w:val="0"/>
        <w:keepLines w:val="0"/>
        <w:pageBreakBefore w:val="0"/>
        <w:widowControl w:val="0"/>
        <w:kinsoku/>
        <w:wordWrap/>
        <w:overflowPunct w:val="0"/>
        <w:topLinePunct w:val="0"/>
        <w:autoSpaceDE w:val="0"/>
        <w:autoSpaceDN w:val="0"/>
        <w:bidi w:val="0"/>
        <w:adjustRightInd/>
        <w:snapToGrid/>
        <w:spacing w:before="0" w:beforeLines="0" w:after="0" w:afterLines="0" w:line="580" w:lineRule="exact"/>
        <w:textAlignment w:val="auto"/>
        <w:rPr>
          <w:rFonts w:hint="eastAsia" w:ascii="Times New Roman" w:hAnsi="Times New Roman" w:eastAsia="方正小标宋简体" w:cs="方正小标宋简体"/>
        </w:rPr>
      </w:pPr>
      <w:r>
        <w:rPr>
          <w:rFonts w:hint="eastAsia" w:ascii="Times New Roman" w:hAnsi="Times New Roman" w:eastAsia="方正小标宋简体" w:cs="方正小标宋简体"/>
        </w:rPr>
        <w:t>人社部2024年数字技术工程师培育项目数字化管理师（初级）培训班</w:t>
      </w:r>
    </w:p>
    <w:p>
      <w:pPr>
        <w:keepNext w:val="0"/>
        <w:keepLines w:val="0"/>
        <w:pageBreakBefore w:val="0"/>
        <w:widowControl w:val="0"/>
        <w:kinsoku/>
        <w:wordWrap/>
        <w:overflowPunct w:val="0"/>
        <w:topLinePunct w:val="0"/>
        <w:autoSpaceDE w:val="0"/>
        <w:autoSpaceDN w:val="0"/>
        <w:bidi w:val="0"/>
        <w:adjustRightInd/>
        <w:snapToGrid/>
        <w:spacing w:line="580" w:lineRule="exact"/>
        <w:textAlignment w:val="auto"/>
        <w:rPr>
          <w:rFonts w:hint="eastAsia" w:ascii="Times New Roman" w:hAnsi="Times New Roman"/>
        </w:rPr>
      </w:pP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石油大学（华东）是教育部直属全国重点大学，是国家“211工程”重点建设和开展“985工程优势学科创新平台”建设并建有研究生院的高校之一。2017年、2022年均进入国家“双一流”建设高校行列。2017年获批人社部国家级专业技术人员继续教育基地，2023年入选国家专业技术人才知识更新工程数字技术工程师培育项目数字化管理师培训机构和考核站点。</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为贯彻落实《山东省专业技术人才知识更新工程（2022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2030年）实施方案》文件要求，扎实推进数字技术工程师培育项目，助力国家数字技术技能人才自主培养、队伍建设和能力素质提升，中国石油大学（华东）继续教育学院面向专业技术人员举办数字化管理师培训。</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山东省人力资源和社会保障厅关于实施专业技术人才知识更新工程数字技术工程师培育项目的通知》（鲁人社字〔2022〕156号），山东将围绕数字技术领域开展培训和专业技术等级考核评价，计划每年培养培训数字技术技能人员6000人左右，壮大数字技术工程师队伍。取得高级专业技术等级证书可作为申报高级职称评审的重要参考，中级、初级专业技术等级证书可纳入各地各部门中级、初级职称认定范围。</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人社部《数字化管理师国家职业技术技能标准（2021年版）》，数字化管理师职业分为初级、中级、高级三个等级，职业编码为2-02-30-11。对完成规定学时和内容的学员将由培训机构进行结业考核，颁发培训合格证书。获得培训合格证书、符合国家职业标准规定申报条件的学员，可按照申报考核证明事项告知承诺制的有关要求，向评价机构诚实守信申报相关职业专业技术等级考核。</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一</w:t>
      </w:r>
      <w:r>
        <w:rPr>
          <w:rFonts w:hint="eastAsia" w:ascii="Times New Roman" w:hAnsi="Times New Roman" w:eastAsia="黑体" w:cs="黑体"/>
          <w:lang w:eastAsia="zh-CN"/>
        </w:rPr>
        <w:t>、</w:t>
      </w:r>
      <w:r>
        <w:rPr>
          <w:rFonts w:hint="eastAsia" w:ascii="Times New Roman" w:hAnsi="Times New Roman" w:eastAsia="黑体" w:cs="黑体"/>
        </w:rPr>
        <w:t>培训职业、等级</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rPr>
      </w:pPr>
      <w:r>
        <w:rPr>
          <w:rFonts w:hint="eastAsia" w:ascii="Times New Roman" w:hAnsi="Times New Roman"/>
        </w:rPr>
        <w:t>数字化管理师（初级）。</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二</w:t>
      </w:r>
      <w:r>
        <w:rPr>
          <w:rFonts w:hint="eastAsia" w:ascii="Times New Roman" w:hAnsi="Times New Roman" w:eastAsia="黑体" w:cs="黑体"/>
          <w:lang w:eastAsia="zh-CN"/>
        </w:rPr>
        <w:t>、</w:t>
      </w:r>
      <w:r>
        <w:rPr>
          <w:rFonts w:hint="eastAsia" w:ascii="Times New Roman" w:hAnsi="Times New Roman" w:eastAsia="黑体" w:cs="黑体"/>
        </w:rPr>
        <w:t>培训对象</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rPr>
      </w:pPr>
      <w:r>
        <w:rPr>
          <w:rFonts w:hint="eastAsia" w:ascii="Times New Roman" w:hAnsi="Times New Roman"/>
        </w:rPr>
        <w:t>培训对象需具备以下条件之一：</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（1）具备相关专业大学本科及以上学历（含在读的应届毕业生）。</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（2）具备相关专业大学专科学历，从事本职业技术工作满1年。</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（3）取得技术员职称。</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lang w:eastAsia="zh-CN"/>
        </w:rPr>
        <w:t>三、</w:t>
      </w:r>
      <w:r>
        <w:rPr>
          <w:rFonts w:hint="eastAsia" w:ascii="Times New Roman" w:hAnsi="Times New Roman" w:eastAsia="黑体" w:cs="黑体"/>
        </w:rPr>
        <w:t>报名时间</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即日起至2024年12月31日，分期开班，每期满20人即可开班。</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四</w:t>
      </w:r>
      <w:r>
        <w:rPr>
          <w:rFonts w:hint="eastAsia" w:ascii="Times New Roman" w:hAnsi="Times New Roman" w:eastAsia="黑体" w:cs="黑体"/>
          <w:lang w:eastAsia="zh-CN"/>
        </w:rPr>
        <w:t>、</w:t>
      </w:r>
      <w:r>
        <w:rPr>
          <w:rFonts w:hint="eastAsia" w:ascii="Times New Roman" w:hAnsi="Times New Roman" w:eastAsia="黑体" w:cs="黑体"/>
        </w:rPr>
        <w:t>培训安排</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（一）培训学时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共60学时。</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（二）培训形式</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1.线上培训：线上培训60学时，具体时间根据教学计划安排另行通知。</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2.线上线下混合式培训：线上培训48学时+线下12学时，具体时间根据教学计划安排另行通知。</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（三）培训内容</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rPr>
      </w:pPr>
      <w:r>
        <w:rPr>
          <w:rFonts w:hint="eastAsia" w:ascii="Times New Roman" w:hAnsi="Times New Roman" w:eastAsia="仿宋_GB2312" w:cs="仿宋_GB2312"/>
        </w:rPr>
        <w:t>数字化管理师理论知识和实训项目演练。详情见开班前下发的《学员手册》。</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五</w:t>
      </w:r>
      <w:r>
        <w:rPr>
          <w:rFonts w:hint="eastAsia" w:ascii="Times New Roman" w:hAnsi="Times New Roman" w:eastAsia="黑体" w:cs="黑体"/>
          <w:lang w:eastAsia="zh-CN"/>
        </w:rPr>
        <w:t>、</w:t>
      </w:r>
      <w:r>
        <w:rPr>
          <w:rFonts w:hint="eastAsia" w:ascii="Times New Roman" w:hAnsi="Times New Roman" w:eastAsia="黑体" w:cs="黑体"/>
        </w:rPr>
        <w:t>培训收获</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1.学员完成培训内容和学时并经考核合格后，可获得中国石油大学（华东）颁发的《专业技术人才知识更新工程培训合格证书》。</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2.取得培训合格证书的学员，参训学时记入《专业技术人员继续教育证书》，当年度全国有效。</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3.取得培训合格证书的学员，方可向评价机构（中国电子学会）申报相应专业技术等级考核，经考核合格，可取得评价机构颁发的《专业技术等级证书》，具体考试时间以评价机构公布信息为准，考核费用500元/人。</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rPr>
      </w:pPr>
      <w:r>
        <w:rPr>
          <w:rFonts w:hint="eastAsia" w:ascii="Times New Roman" w:hAnsi="Times New Roman" w:eastAsia="仿宋_GB2312" w:cs="仿宋_GB2312"/>
        </w:rPr>
        <w:t>4.参加数字技术工程师培育项目、符合各地市职称申报评审范围并取得专业技术等级证书的，可按规定享受对应级别的职称直接认定或申报评审。</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六</w:t>
      </w:r>
      <w:r>
        <w:rPr>
          <w:rFonts w:hint="eastAsia" w:ascii="Times New Roman" w:hAnsi="Times New Roman" w:eastAsia="黑体" w:cs="黑体"/>
          <w:lang w:eastAsia="zh-CN"/>
        </w:rPr>
        <w:t>、</w:t>
      </w:r>
      <w:r>
        <w:rPr>
          <w:rFonts w:hint="eastAsia" w:ascii="Times New Roman" w:hAnsi="Times New Roman" w:eastAsia="黑体" w:cs="黑体"/>
        </w:rPr>
        <w:t>收费标准及政策</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（一）收费标准</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1.线上班：线上60学时，培训费用+考核费用总计为3500元;</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2.线上+线下班：线上48学时，线下12学时，培训费用+考核费用总计为4500元；</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rPr>
        <w:t>3.为提升应届毕业生数字化技能，中国石油大学（华东）继续教育学院承担本校应届毕业生部分培训费用</w:t>
      </w:r>
      <w:r>
        <w:rPr>
          <w:rFonts w:hint="eastAsia" w:ascii="Times New Roman" w:hAnsi="Times New Roman" w:cs="仿宋_GB2312"/>
          <w:lang w:eastAsia="zh-CN"/>
        </w:rPr>
        <w:t>；</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4.费用包含培训、资料费等（不含教材费），食宿和交通费自理。参训学员报名汇款后，由中国石油大学（华东）开具中央非税收入统一票据。</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rPr>
        <w:t>（二）相关政策</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rPr>
      </w:pPr>
      <w:r>
        <w:rPr>
          <w:rFonts w:hint="eastAsia" w:ascii="Times New Roman" w:hAnsi="Times New Roman"/>
        </w:rPr>
        <w:t>培训学习及证书相关补贴费用政策请咨询所在单位或当地人社局。</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七</w:t>
      </w:r>
      <w:r>
        <w:rPr>
          <w:rFonts w:hint="eastAsia" w:ascii="Times New Roman" w:hAnsi="Times New Roman" w:eastAsia="黑体" w:cs="黑体"/>
          <w:lang w:eastAsia="zh-CN"/>
        </w:rPr>
        <w:t>、</w:t>
      </w:r>
      <w:r>
        <w:rPr>
          <w:rFonts w:hint="eastAsia" w:ascii="Times New Roman" w:hAnsi="Times New Roman" w:eastAsia="黑体" w:cs="黑体"/>
        </w:rPr>
        <w:t>报名与缴费</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1.培训报名</w:t>
      </w:r>
    </w:p>
    <w:p>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经过工作人员审核无误后，由工作人员统一联系安排费用缴纳与培训相关事宜。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kern w:val="2"/>
          <w:sz w:val="32"/>
          <w:szCs w:val="24"/>
          <w:lang w:val="en-US" w:eastAsia="zh-CN" w:bidi="ar-SA"/>
        </w:rPr>
        <w:t>2.</w:t>
      </w:r>
      <w:r>
        <w:rPr>
          <w:rFonts w:hint="eastAsia" w:ascii="Times New Roman" w:hAnsi="Times New Roman" w:eastAsia="仿宋_GB2312" w:cs="仿宋_GB2312"/>
        </w:rPr>
        <w:t>报名联系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姚老师  18766425778</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徐老师  15315546026</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李老师  13793226184</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办公电话：0532-86980900</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通讯地址：山东省青岛市黄岛区长江西路66号</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八</w:t>
      </w:r>
      <w:r>
        <w:rPr>
          <w:rFonts w:hint="eastAsia" w:ascii="Times New Roman" w:hAnsi="Times New Roman" w:eastAsia="黑体" w:cs="黑体"/>
          <w:lang w:eastAsia="zh-CN"/>
        </w:rPr>
        <w:t>、</w:t>
      </w:r>
      <w:r>
        <w:rPr>
          <w:rFonts w:hint="eastAsia" w:ascii="Times New Roman" w:hAnsi="Times New Roman" w:eastAsia="黑体" w:cs="黑体"/>
        </w:rPr>
        <w:t>注意事项</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1.学员在认真阅读招生简章基础上知晓课程介绍及收费标准后自愿参加本次培训，一旦缴费不予退款。</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2.参加培训的学员要严格遵守纪律及规章制度，严格按照培训时间安排认真学习，按照授课老师的要求完成相关作业。若培训班正式授课后因学员迟到，早退，旷课等个人原因导致的学员培训时间不足，概不补课。</w:t>
      </w:r>
    </w:p>
    <w:p>
      <w:pPr>
        <w:pStyle w:val="7"/>
        <w:keepNext w:val="0"/>
        <w:keepLines w:val="0"/>
        <w:pageBreakBefore w:val="0"/>
        <w:widowControl w:val="0"/>
        <w:kinsoku/>
        <w:wordWrap/>
        <w:overflowPunct w:val="0"/>
        <w:topLinePunct w:val="0"/>
        <w:autoSpaceDE w:val="0"/>
        <w:autoSpaceDN w:val="0"/>
        <w:bidi w:val="0"/>
        <w:adjustRightInd/>
        <w:snapToGrid/>
        <w:spacing w:after="0" w:line="58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黑体" w:cs="黑体"/>
          <w:b w:val="0"/>
          <w:bCs/>
          <w:color w:val="000000"/>
          <w:kern w:val="2"/>
          <w:sz w:val="32"/>
          <w:szCs w:val="32"/>
          <w:lang w:val="en-US" w:eastAsia="zh-CN" w:bidi="ar-SA"/>
        </w:rPr>
        <w:sectPr>
          <w:type w:val="continuous"/>
          <w:pgSz w:w="11906" w:h="16838"/>
          <w:pgMar w:top="1984" w:right="1474" w:bottom="1984" w:left="1474" w:header="851" w:footer="1417" w:gutter="0"/>
          <w:pgNumType w:fmt="decimal"/>
          <w:cols w:space="0" w:num="1"/>
          <w:rtlGutter w:val="0"/>
          <w:docGrid w:type="lines" w:linePitch="312" w:charSpace="0"/>
        </w:sectPr>
      </w:pPr>
    </w:p>
    <w:p>
      <w:pPr>
        <w:pStyle w:val="7"/>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黑体" w:hAnsi="黑体" w:eastAsia="黑体" w:cs="黑体"/>
          <w:b w:val="0"/>
          <w:bCs/>
          <w:color w:val="000000"/>
          <w:kern w:val="2"/>
          <w:sz w:val="32"/>
          <w:szCs w:val="32"/>
          <w:lang w:val="en-US" w:eastAsia="zh-CN" w:bidi="ar-SA"/>
        </w:rPr>
      </w:pPr>
      <w:r>
        <w:rPr>
          <w:rFonts w:hint="eastAsia" w:ascii="黑体" w:hAnsi="黑体" w:eastAsia="黑体" w:cs="黑体"/>
          <w:b w:val="0"/>
          <w:bCs/>
          <w:color w:val="000000"/>
          <w:kern w:val="2"/>
          <w:sz w:val="32"/>
          <w:szCs w:val="32"/>
          <w:lang w:val="en-US" w:eastAsia="zh-CN" w:bidi="ar-SA"/>
        </w:rPr>
        <w:t>附件</w:t>
      </w:r>
      <w:r>
        <w:rPr>
          <w:rFonts w:hint="eastAsia" w:ascii="黑体" w:hAnsi="黑体" w:cs="黑体"/>
          <w:b w:val="0"/>
          <w:bCs/>
          <w:color w:val="000000"/>
          <w:kern w:val="2"/>
          <w:sz w:val="32"/>
          <w:szCs w:val="32"/>
          <w:lang w:val="en-US" w:eastAsia="zh-CN" w:bidi="ar-SA"/>
        </w:rPr>
        <w:t>2</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枣庄市数字化管理师培育项目报名表</w:t>
      </w:r>
    </w:p>
    <w:tbl>
      <w:tblPr>
        <w:tblStyle w:val="9"/>
        <w:tblW w:w="14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09"/>
        <w:gridCol w:w="2547"/>
        <w:gridCol w:w="2458"/>
        <w:gridCol w:w="1545"/>
        <w:gridCol w:w="2414"/>
        <w:gridCol w:w="1472"/>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358"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rPr>
              <w:t>姓名</w:t>
            </w:r>
          </w:p>
        </w:tc>
        <w:tc>
          <w:tcPr>
            <w:tcW w:w="809"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性别</w:t>
            </w:r>
          </w:p>
        </w:tc>
        <w:tc>
          <w:tcPr>
            <w:tcW w:w="2547"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身份证号</w:t>
            </w:r>
          </w:p>
        </w:tc>
        <w:tc>
          <w:tcPr>
            <w:tcW w:w="2458"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学历及所学专业</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职称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sz w:val="28"/>
                <w:szCs w:val="28"/>
                <w:lang w:val="en-US" w:eastAsia="zh-CN"/>
              </w:rPr>
            </w:pPr>
            <w:r>
              <w:rPr>
                <w:rFonts w:hint="eastAsia" w:ascii="黑体" w:hAnsi="黑体" w:eastAsia="黑体" w:cs="黑体"/>
                <w:sz w:val="20"/>
                <w:szCs w:val="20"/>
                <w:lang w:val="en-US" w:eastAsia="zh-CN"/>
              </w:rPr>
              <w:t>（没有可不填）</w:t>
            </w:r>
          </w:p>
        </w:tc>
        <w:tc>
          <w:tcPr>
            <w:tcW w:w="241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rPr>
              <w:t>所在单位</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rPr>
              <w:t>单位所在</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区</w:t>
            </w:r>
            <w:r>
              <w:rPr>
                <w:rFonts w:hint="eastAsia" w:ascii="黑体" w:hAnsi="黑体" w:eastAsia="黑体" w:cs="黑体"/>
                <w:sz w:val="28"/>
                <w:szCs w:val="28"/>
                <w:lang w:eastAsia="zh-CN"/>
              </w:rPr>
              <w:t>（市）</w:t>
            </w:r>
          </w:p>
        </w:tc>
        <w:tc>
          <w:tcPr>
            <w:tcW w:w="2193"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358"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809"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547"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458"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545"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414"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1472"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193" w:type="dxa"/>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bl>
    <w:p>
      <w:pPr>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i w:val="0"/>
          <w:iCs w:val="0"/>
          <w:caps w:val="0"/>
          <w:color w:val="000000"/>
          <w:spacing w:val="0"/>
          <w:sz w:val="32"/>
          <w:szCs w:val="32"/>
          <w:shd w:val="clear" w:fill="FFFFFF"/>
          <w:lang w:val="en-US" w:eastAsia="zh-CN"/>
        </w:rPr>
      </w:pPr>
    </w:p>
    <w:sectPr>
      <w:footerReference r:id="rId4" w:type="default"/>
      <w:type w:val="continuous"/>
      <w:pgSz w:w="16838" w:h="11906" w:orient="landscape"/>
      <w:pgMar w:top="1984" w:right="1474" w:bottom="1984" w:left="1474" w:header="851" w:footer="1417"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21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JmNDkwMTgzYmQwNzUzMTg4MDNjMTExZWU5ZjIifQ=="/>
  </w:docVars>
  <w:rsids>
    <w:rsidRoot w:val="00000000"/>
    <w:rsid w:val="030E0AC0"/>
    <w:rsid w:val="03F86F5F"/>
    <w:rsid w:val="043D75EE"/>
    <w:rsid w:val="04F96FF0"/>
    <w:rsid w:val="068D2D3B"/>
    <w:rsid w:val="069045BE"/>
    <w:rsid w:val="06964FAF"/>
    <w:rsid w:val="08C966EB"/>
    <w:rsid w:val="0AA56BF1"/>
    <w:rsid w:val="0B582D86"/>
    <w:rsid w:val="0C6F50F0"/>
    <w:rsid w:val="0CB20897"/>
    <w:rsid w:val="0ECC65CA"/>
    <w:rsid w:val="10130B2C"/>
    <w:rsid w:val="11444710"/>
    <w:rsid w:val="11C3058C"/>
    <w:rsid w:val="141E570D"/>
    <w:rsid w:val="1579715C"/>
    <w:rsid w:val="16E20BE6"/>
    <w:rsid w:val="17795811"/>
    <w:rsid w:val="17B330C9"/>
    <w:rsid w:val="18796191"/>
    <w:rsid w:val="19E348D9"/>
    <w:rsid w:val="1B7C228A"/>
    <w:rsid w:val="1BF95922"/>
    <w:rsid w:val="1C1B73F4"/>
    <w:rsid w:val="1CB87DD5"/>
    <w:rsid w:val="1F2A6033"/>
    <w:rsid w:val="1F667ECB"/>
    <w:rsid w:val="21545C2E"/>
    <w:rsid w:val="2262167F"/>
    <w:rsid w:val="2273078E"/>
    <w:rsid w:val="23B7117B"/>
    <w:rsid w:val="23E21E1F"/>
    <w:rsid w:val="243A51BB"/>
    <w:rsid w:val="25CB5FAD"/>
    <w:rsid w:val="28B77EDF"/>
    <w:rsid w:val="2B0E482A"/>
    <w:rsid w:val="2FE249BB"/>
    <w:rsid w:val="31407995"/>
    <w:rsid w:val="329F628A"/>
    <w:rsid w:val="32FB4F4A"/>
    <w:rsid w:val="360D5816"/>
    <w:rsid w:val="365F45FE"/>
    <w:rsid w:val="37BF6A9E"/>
    <w:rsid w:val="38AE23C0"/>
    <w:rsid w:val="3E784C5C"/>
    <w:rsid w:val="41B811FB"/>
    <w:rsid w:val="4227271E"/>
    <w:rsid w:val="42EB101F"/>
    <w:rsid w:val="46491354"/>
    <w:rsid w:val="46C459CB"/>
    <w:rsid w:val="46DD3374"/>
    <w:rsid w:val="47FC0032"/>
    <w:rsid w:val="48BB37EC"/>
    <w:rsid w:val="4A764F82"/>
    <w:rsid w:val="4C97554E"/>
    <w:rsid w:val="4FD925E3"/>
    <w:rsid w:val="505910D6"/>
    <w:rsid w:val="59C421EC"/>
    <w:rsid w:val="59F967A1"/>
    <w:rsid w:val="5C6A5252"/>
    <w:rsid w:val="5FE81CDF"/>
    <w:rsid w:val="60340051"/>
    <w:rsid w:val="644115AE"/>
    <w:rsid w:val="66236B9E"/>
    <w:rsid w:val="66AC60CF"/>
    <w:rsid w:val="68C21A74"/>
    <w:rsid w:val="690B6799"/>
    <w:rsid w:val="6B962810"/>
    <w:rsid w:val="6C117715"/>
    <w:rsid w:val="6D372470"/>
    <w:rsid w:val="6D5F039D"/>
    <w:rsid w:val="70C621BD"/>
    <w:rsid w:val="73014ED1"/>
    <w:rsid w:val="73277771"/>
    <w:rsid w:val="743957DE"/>
    <w:rsid w:val="76E539FB"/>
    <w:rsid w:val="795A5FDB"/>
    <w:rsid w:val="79742706"/>
    <w:rsid w:val="7B4C1091"/>
    <w:rsid w:val="7D553689"/>
    <w:rsid w:val="7DCB1D75"/>
    <w:rsid w:val="7F10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jc w:val="center"/>
    </w:pPr>
    <w:rPr>
      <w:rFonts w:eastAsia="黑体"/>
      <w:b/>
      <w:sz w:val="28"/>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3751</Words>
  <Characters>3977</Characters>
  <Lines>0</Lines>
  <Paragraphs>0</Paragraphs>
  <TotalTime>12</TotalTime>
  <ScaleCrop>false</ScaleCrop>
  <LinksUpToDate>false</LinksUpToDate>
  <CharactersWithSpaces>4020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2024-06-24T16:37:00Z</dcterms:created>
  <dc:creator>Administrator</dc:creator>
  <cp:lastModifiedBy>user</cp:lastModifiedBy>
  <dcterms:modified xsi:type="dcterms:W3CDTF">2024-07-16T09:35:04Z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B083EA6DCBD8429F8CC7A771101DD320_12</vt:lpwstr>
  </property>
</Properties>
</file>