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auto"/>
          <w:sz w:val="44"/>
        </w:rPr>
        <w:t>薛城区市场监督管理局</w:t>
      </w:r>
      <w:bookmarkEnd w:id="0"/>
    </w:p>
    <w:p>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auto"/>
          <w:sz w:val="44"/>
          <w:szCs w:val="44"/>
          <w:lang w:val="en-US"/>
        </w:rPr>
        <w:t>行政处罚</w:t>
      </w:r>
      <w:r>
        <w:rPr>
          <w:rFonts w:hint="eastAsia" w:hAnsi="方正小标宋简体" w:eastAsia="方正小标宋简体" w:cs="方正小标宋简体"/>
          <w:color w:val="auto"/>
          <w:sz w:val="44"/>
          <w:szCs w:val="44"/>
          <w:lang w:val="en-US" w:eastAsia="zh-Hans"/>
        </w:rPr>
        <w:t>决定</w:t>
      </w:r>
      <w:r>
        <w:rPr>
          <w:rFonts w:hint="eastAsia" w:hAnsi="方正小标宋简体" w:eastAsia="方正小标宋简体" w:cs="方正小标宋简体"/>
          <w:color w:val="auto"/>
          <w:sz w:val="44"/>
          <w:szCs w:val="44"/>
          <w:lang w:val="en-US"/>
        </w:rPr>
        <w:t>书</w:t>
      </w:r>
      <w:bookmarkEnd w:id="1"/>
    </w:p>
    <w:p>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auto"/>
          <w:sz w:val="32"/>
        </w:rPr>
        <w:t>薛市监处罚〔2024〕79号</w:t>
      </w:r>
      <w:bookmarkEnd w:id="2"/>
    </w:p>
    <w:p>
      <w:pPr>
        <w:spacing w:before="315" w:beforeLines="100" w:line="540" w:lineRule="exact"/>
        <w:ind w:left="142" w:hanging="142"/>
        <w:rPr>
          <w:rFonts w:hint="eastAsia" w:ascii="Times New Roman" w:hAnsi="Times New Roman" w:eastAsia="仿宋_GB2312" w:cs="Mongolian Baiti"/>
          <w:b w:val="0"/>
          <w:bCs/>
          <w:color w:val="auto"/>
          <w:sz w:val="32"/>
          <w:szCs w:val="32"/>
          <w:u w:val="none" w:color="auto"/>
          <w:lang w:val="en-US" w:eastAsia="zh-CN"/>
        </w:rPr>
      </w:pPr>
      <w:r>
        <w:rPr>
          <w:rFonts w:hint="eastAsia" w:ascii="Times New Roman" w:hAnsi="Times New Roman" w:eastAsia="仿宋_GB2312" w:cs="Mongolian Baiti"/>
          <w:b w:val="0"/>
          <w:bCs/>
          <w:color w:val="auto"/>
          <w:kern w:val="1"/>
          <w:sz w:val="32"/>
          <w:szCs w:val="32"/>
        </w:rPr>
        <w:t>当事人：</w:t>
      </w:r>
      <w:bookmarkStart w:id="3" w:name="CALCULATE—DSR—tAjDsrs_cMc"/>
      <w:r>
        <w:rPr>
          <w:rFonts w:hint="eastAsia" w:ascii="Times New Roman" w:hAnsi="Times New Roman" w:eastAsia="仿宋_GB2312" w:cs="Mongolian Baiti"/>
          <w:b w:val="0"/>
          <w:color w:val="auto"/>
          <w:sz w:val="32"/>
          <w:u w:val="none" w:color="auto"/>
        </w:rPr>
        <w:t>枣庄薛城区庆飞便利店</w:t>
      </w:r>
      <w:bookmarkEnd w:id="3"/>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r>
        <w:rPr>
          <w:rFonts w:hint="default"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eastAsia" w:ascii="Times New Roman" w:hAnsi="Times New Roman" w:eastAsia="仿宋_GB2312" w:cs="Mongolian Baiti"/>
          <w:b w:val="0"/>
          <w:bCs/>
          <w:color w:val="auto"/>
          <w:kern w:val="1"/>
          <w:sz w:val="32"/>
          <w:szCs w:val="32"/>
          <w:u w:val="none" w:color="auto"/>
        </w:rPr>
      </w:pPr>
      <w:r>
        <w:rPr>
          <w:rFonts w:hint="eastAsia" w:ascii="Times New Roman" w:hAnsi="Times New Roman" w:eastAsia="仿宋_GB2312" w:cs="微软雅黑"/>
          <w:b w:val="0"/>
          <w:bCs/>
          <w:color w:val="auto"/>
          <w:kern w:val="1"/>
          <w:sz w:val="32"/>
          <w:szCs w:val="32"/>
          <w:u w:val="none" w:color="auto"/>
        </w:rPr>
        <w:t>主体资格证照</w:t>
      </w:r>
      <w:r>
        <w:rPr>
          <w:rFonts w:hint="eastAsia" w:ascii="Times New Roman" w:hAnsi="Times New Roman" w:eastAsia="仿宋_GB2312" w:cs="Mongolian Baiti"/>
          <w:b w:val="0"/>
          <w:bCs/>
          <w:color w:val="auto"/>
          <w:kern w:val="1"/>
          <w:sz w:val="32"/>
          <w:szCs w:val="32"/>
          <w:u w:val="none" w:color="auto"/>
        </w:rPr>
        <w:t>名称：</w:t>
      </w:r>
      <w:bookmarkStart w:id="4" w:name="CALCULATE—DSR—tAjDsrs_cZtzgzzmc"/>
      <w:r>
        <w:rPr>
          <w:rFonts w:hint="eastAsia" w:ascii="Times New Roman" w:hAnsi="Times New Roman" w:eastAsia="仿宋_GB2312" w:cs="Mongolian Baiti"/>
          <w:b w:val="0"/>
          <w:color w:val="auto"/>
          <w:sz w:val="32"/>
          <w:u w:val="none" w:color="auto"/>
        </w:rPr>
        <w:t>枣庄薛城区庆飞便利店</w:t>
      </w:r>
      <w:bookmarkEnd w:id="4"/>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统一社会信用代码：</w:t>
      </w:r>
      <w:bookmarkStart w:id="5" w:name="CALCULATE—DSR—tAjDsrs_cTzshxydm"/>
      <w:r>
        <w:rPr>
          <w:rFonts w:hint="eastAsia" w:ascii="Times New Roman" w:hAnsi="Times New Roman" w:eastAsia="仿宋_GB2312" w:cs="Mongolian Baiti"/>
          <w:b w:val="0"/>
          <w:color w:val="auto"/>
          <w:sz w:val="32"/>
          <w:u w:val="none" w:color="auto"/>
        </w:rPr>
        <w:t>9237040</w:t>
      </w:r>
      <w:r>
        <w:rPr>
          <w:rFonts w:hint="eastAsia" w:ascii="Times New Roman" w:hAnsi="Times New Roman" w:eastAsia="仿宋_GB2312" w:cs="Mongolian Baiti"/>
          <w:b w:val="0"/>
          <w:color w:val="auto"/>
          <w:sz w:val="32"/>
          <w:u w:val="none" w:color="auto"/>
          <w:lang w:val="en-US" w:eastAsia="zh-CN"/>
        </w:rPr>
        <w:t>******</w:t>
      </w:r>
      <w:r>
        <w:rPr>
          <w:rFonts w:hint="eastAsia" w:ascii="Times New Roman" w:hAnsi="Times New Roman" w:eastAsia="仿宋_GB2312" w:cs="Mongolian Baiti"/>
          <w:b w:val="0"/>
          <w:color w:val="auto"/>
          <w:sz w:val="32"/>
          <w:u w:val="none" w:color="auto"/>
        </w:rPr>
        <w:t>AE8M</w:t>
      </w:r>
      <w:bookmarkEnd w:id="5"/>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住所（住址）：</w:t>
      </w:r>
      <w:bookmarkStart w:id="6" w:name="CALCULATE—DSR—tAjDsrs_cLxdzSheng"/>
      <w:r>
        <w:rPr>
          <w:rFonts w:hint="eastAsia" w:ascii="Times New Roman" w:hAnsi="Times New Roman" w:eastAsia="仿宋_GB2312" w:cs="Mongolian Baiti"/>
          <w:b w:val="0"/>
          <w:color w:val="auto"/>
          <w:sz w:val="32"/>
          <w:u w:val="none" w:color="auto"/>
        </w:rPr>
        <w:t>山东省枣庄市薛城区沙沟镇民生路枣庄学院（新校区）A5-14号</w:t>
      </w:r>
      <w:bookmarkEnd w:id="6"/>
      <w:r>
        <w:rPr>
          <w:rFonts w:hint="eastAsia" w:ascii="Times New Roman" w:hAnsi="Times New Roman" w:eastAsia="仿宋_GB2312" w:cs="Mongolian Baiti"/>
          <w:b w:val="0"/>
          <w:bCs/>
          <w:color w:val="auto"/>
          <w:kern w:val="1"/>
          <w:sz w:val="32"/>
          <w:szCs w:val="32"/>
          <w:u w:val="none" w:color="auto"/>
        </w:rPr>
        <w:t xml:space="preserve">                           </w:t>
      </w:r>
      <w:bookmarkStart w:id="13" w:name="_GoBack"/>
      <w:bookmarkEnd w:id="13"/>
      <w:r>
        <w:rPr>
          <w:rFonts w:hint="eastAsia" w:ascii="Times New Roman" w:hAnsi="Times New Roman" w:eastAsia="仿宋_GB2312" w:cs="Mongolian Baiti"/>
          <w:b w:val="0"/>
          <w:bCs/>
          <w:color w:val="auto"/>
          <w:kern w:val="1"/>
          <w:sz w:val="32"/>
          <w:szCs w:val="32"/>
          <w:u w:val="none" w:color="auto"/>
        </w:rPr>
        <w:t xml:space="preserve">           </w:t>
      </w:r>
      <w:r>
        <w:rPr>
          <w:rFonts w:hint="eastAsia" w:ascii="Times New Roman" w:hAnsi="Times New Roman" w:eastAsia="仿宋_GB2312" w:cs="Mongolian Baiti"/>
          <w:b w:val="0"/>
          <w:bCs/>
          <w:color w:val="auto"/>
          <w:kern w:val="1"/>
          <w:sz w:val="32"/>
          <w:szCs w:val="32"/>
          <w:u w:val="none" w:color="auto"/>
          <w:lang w:val="en-US" w:eastAsia="zh-CN"/>
        </w:rPr>
        <w:t xml:space="preserve"> </w:t>
      </w:r>
    </w:p>
    <w:p>
      <w:pPr>
        <w:spacing w:line="540" w:lineRule="exact"/>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法定代表人（负责人</w:t>
      </w:r>
      <w:r>
        <w:rPr>
          <w:rFonts w:hint="eastAsia" w:ascii="Times New Roman" w:hAnsi="Times New Roman" w:eastAsia="仿宋_GB2312" w:cs="Mongolian Baiti"/>
          <w:b w:val="0"/>
          <w:bCs/>
          <w:color w:val="auto"/>
          <w:kern w:val="1"/>
          <w:sz w:val="32"/>
          <w:szCs w:val="32"/>
          <w:u w:val="none" w:color="auto"/>
          <w:lang w:eastAsia="zh-CN"/>
        </w:rPr>
        <w:t>、经营者</w:t>
      </w:r>
      <w:r>
        <w:rPr>
          <w:rFonts w:hint="eastAsia" w:ascii="Times New Roman" w:hAnsi="Times New Roman" w:eastAsia="仿宋_GB2312" w:cs="Mongolian Baiti"/>
          <w:b w:val="0"/>
          <w:bCs/>
          <w:color w:val="auto"/>
          <w:kern w:val="1"/>
          <w:sz w:val="32"/>
          <w:szCs w:val="32"/>
          <w:u w:val="none" w:color="auto"/>
        </w:rPr>
        <w:t>）：</w:t>
      </w:r>
      <w:bookmarkStart w:id="7" w:name="CALCULATE—DSR—tAjDsrs_cFddbr"/>
      <w:r>
        <w:rPr>
          <w:rFonts w:hint="eastAsia" w:ascii="Times New Roman" w:hAnsi="Times New Roman" w:eastAsia="仿宋_GB2312" w:cs="Mongolian Baiti"/>
          <w:b w:val="0"/>
          <w:color w:val="auto"/>
          <w:sz w:val="32"/>
          <w:u w:val="none" w:color="auto"/>
        </w:rPr>
        <w:t>赵鹏飞</w:t>
      </w:r>
      <w:bookmarkEnd w:id="7"/>
      <w:r>
        <w:rPr>
          <w:rFonts w:hint="eastAsia" w:ascii="Times New Roman" w:hAnsi="Times New Roman" w:eastAsia="仿宋_GB2312" w:cs="Mongolian Baiti"/>
          <w:b w:val="0"/>
          <w:bCs/>
          <w:color w:val="auto"/>
          <w:kern w:val="1"/>
          <w:sz w:val="32"/>
          <w:szCs w:val="32"/>
          <w:u w:val="none" w:color="auto"/>
        </w:rPr>
        <w:t xml:space="preserve">                       </w:t>
      </w:r>
    </w:p>
    <w:p>
      <w:pPr>
        <w:spacing w:line="540" w:lineRule="exact"/>
        <w:ind w:left="140" w:hanging="140"/>
        <w:rPr>
          <w:rFonts w:hint="default" w:ascii="Times New Roman" w:hAnsi="Times New Roman" w:eastAsia="仿宋_GB2312" w:cs="Mongolian Baiti"/>
          <w:b w:val="0"/>
          <w:bCs/>
          <w:color w:val="auto"/>
          <w:kern w:val="1"/>
          <w:sz w:val="32"/>
          <w:szCs w:val="32"/>
          <w:u w:val="none" w:color="auto"/>
          <w:lang w:val="en-US" w:eastAsia="zh-CN"/>
        </w:rPr>
      </w:pPr>
      <w:r>
        <w:rPr>
          <w:rFonts w:hint="eastAsia" w:ascii="Times New Roman" w:hAnsi="Times New Roman" w:eastAsia="仿宋_GB2312" w:cs="Mongolian Baiti"/>
          <w:b w:val="0"/>
          <w:bCs/>
          <w:color w:val="auto"/>
          <w:kern w:val="1"/>
          <w:sz w:val="32"/>
          <w:szCs w:val="32"/>
          <w:u w:val="none" w:color="auto"/>
        </w:rPr>
        <w:t>身份证件号码：</w:t>
      </w:r>
      <w:bookmarkStart w:id="8" w:name="CALCULATE—DSR—tAjDsrs_cZjhm"/>
      <w:r>
        <w:rPr>
          <w:rFonts w:hint="eastAsia" w:ascii="Times New Roman" w:hAnsi="Times New Roman" w:eastAsia="仿宋_GB2312" w:cs="Mongolian Baiti"/>
          <w:b w:val="0"/>
          <w:color w:val="auto"/>
          <w:sz w:val="32"/>
          <w:u w:val="none" w:color="auto"/>
        </w:rPr>
        <w:t>37040</w:t>
      </w:r>
      <w:r>
        <w:rPr>
          <w:rFonts w:hint="eastAsia" w:ascii="Times New Roman" w:hAnsi="Times New Roman" w:eastAsia="仿宋_GB2312" w:cs="Mongolian Baiti"/>
          <w:b w:val="0"/>
          <w:color w:val="auto"/>
          <w:sz w:val="32"/>
          <w:u w:val="none" w:color="auto"/>
          <w:lang w:val="en-US" w:eastAsia="zh-CN"/>
        </w:rPr>
        <w:t>******</w:t>
      </w:r>
      <w:r>
        <w:rPr>
          <w:rFonts w:hint="eastAsia" w:ascii="Times New Roman" w:hAnsi="Times New Roman" w:eastAsia="仿宋_GB2312" w:cs="Mongolian Baiti"/>
          <w:b w:val="0"/>
          <w:color w:val="auto"/>
          <w:sz w:val="32"/>
          <w:u w:val="none" w:color="auto"/>
        </w:rPr>
        <w:t>1111</w:t>
      </w:r>
      <w:bookmarkEnd w:id="8"/>
      <w:r>
        <w:rPr>
          <w:rFonts w:hint="eastAsia" w:ascii="Times New Roman" w:hAnsi="Times New Roman" w:eastAsia="仿宋_GB2312" w:cs="Mongolian Baiti"/>
          <w:b w:val="0"/>
          <w:bCs/>
          <w:color w:val="auto"/>
          <w:kern w:val="1"/>
          <w:sz w:val="32"/>
          <w:szCs w:val="32"/>
          <w:u w:val="none" w:color="auto"/>
        </w:rPr>
        <w:t xml:space="preserve">                                      </w:t>
      </w:r>
    </w:p>
    <w:p>
      <w:pPr>
        <w:pStyle w:val="4"/>
        <w:tabs>
          <w:tab w:val="left" w:pos="9060"/>
        </w:tabs>
        <w:spacing w:line="240" w:lineRule="auto"/>
        <w:ind w:firstLine="640" w:firstLineChars="200"/>
        <w:rPr>
          <w:rFonts w:hint="default" w:ascii="仿宋_GB2312" w:hAnsi="方正仿宋_GBK" w:eastAsia="仿宋_GB2312"/>
          <w:b w:val="0"/>
          <w:bCs/>
          <w:color w:val="auto"/>
          <w:u w:val="single" w:color="231F20"/>
          <w:lang w:val="en-US" w:eastAsia="zh-CN"/>
        </w:rPr>
      </w:pPr>
      <w:r>
        <w:rPr>
          <w:rFonts w:hint="eastAsia" w:ascii="仿宋" w:hAnsi="仿宋" w:eastAsia="仿宋" w:cs="仿宋"/>
          <w:color w:val="000000"/>
          <w:spacing w:val="0"/>
          <w:sz w:val="32"/>
          <w:szCs w:val="32"/>
          <w:u w:val="none"/>
          <w:lang w:val="en-US" w:eastAsia="zh-CN"/>
        </w:rPr>
        <w:t>2024年5月24日，</w:t>
      </w:r>
      <w:r>
        <w:rPr>
          <w:rFonts w:hint="eastAsia" w:ascii="仿宋" w:hAnsi="仿宋" w:eastAsia="仿宋" w:cs="仿宋"/>
          <w:color w:val="221E1F"/>
          <w:sz w:val="32"/>
          <w:szCs w:val="32"/>
          <w:u w:val="none"/>
        </w:rPr>
        <w:t>我局根据薛城区烟草专卖局案件移送函，称当事人</w:t>
      </w:r>
      <w:r>
        <w:rPr>
          <w:rFonts w:hint="eastAsia" w:ascii="仿宋" w:hAnsi="仿宋" w:eastAsia="仿宋" w:cs="仿宋"/>
          <w:sz w:val="32"/>
          <w:szCs w:val="32"/>
          <w:u w:val="none"/>
          <w:lang w:val="en-US" w:eastAsia="zh-CN"/>
        </w:rPr>
        <w:t>枣</w:t>
      </w:r>
      <w:r>
        <w:rPr>
          <w:rFonts w:hint="eastAsia" w:ascii="仿宋" w:hAnsi="仿宋" w:eastAsia="仿宋" w:cs="仿宋"/>
          <w:color w:val="221E1F"/>
          <w:spacing w:val="0"/>
          <w:sz w:val="32"/>
          <w:szCs w:val="32"/>
          <w:u w:val="none"/>
          <w:lang w:val="en-US" w:eastAsia="zh-CN"/>
        </w:rPr>
        <w:t>庄薛城区庆飞便利店</w:t>
      </w:r>
      <w:r>
        <w:rPr>
          <w:rFonts w:hint="eastAsia" w:ascii="仿宋" w:hAnsi="仿宋" w:eastAsia="仿宋" w:cs="仿宋"/>
          <w:color w:val="221E1F"/>
          <w:sz w:val="32"/>
          <w:szCs w:val="32"/>
          <w:u w:val="none"/>
        </w:rPr>
        <w:t>涉嫌未办理烟草专卖零售许可证，从事烟草制品零售经营活动。依据《市场监督管理行政处罚程序暂行规定》第十七条的规定，报请局领导批准于当日立案调查，由</w:t>
      </w:r>
      <w:r>
        <w:rPr>
          <w:rFonts w:hint="eastAsia" w:ascii="仿宋" w:hAnsi="仿宋" w:eastAsia="仿宋" w:cs="仿宋"/>
          <w:color w:val="221E1F"/>
          <w:sz w:val="32"/>
          <w:szCs w:val="32"/>
          <w:u w:val="none"/>
          <w:lang w:val="en-US" w:eastAsia="zh-CN"/>
        </w:rPr>
        <w:t>彭晨、李刚</w:t>
      </w:r>
      <w:r>
        <w:rPr>
          <w:rFonts w:hint="eastAsia" w:ascii="仿宋" w:hAnsi="仿宋" w:eastAsia="仿宋" w:cs="仿宋"/>
          <w:color w:val="221E1F"/>
          <w:sz w:val="32"/>
          <w:szCs w:val="32"/>
          <w:u w:val="none"/>
        </w:rPr>
        <w:t>两位同志负责调查，执法人员对现场进行了调查取证。我局执法人员为查明事实，通过采取询问当事人的方式进行了取证工作。</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221E1F"/>
          <w:spacing w:val="0"/>
          <w:sz w:val="32"/>
          <w:szCs w:val="32"/>
          <w:u w:val="single"/>
          <w:lang w:val="en-US" w:eastAsia="zh-CN"/>
        </w:rPr>
      </w:pPr>
      <w:bookmarkStart w:id="9" w:name="CALCULATE—AJCF—tAjCfes_cAjss"/>
      <w:r>
        <w:rPr>
          <w:rFonts w:hint="eastAsia" w:ascii="仿宋" w:hAnsi="仿宋" w:eastAsia="仿宋" w:cs="仿宋"/>
          <w:color w:val="221E1F"/>
          <w:sz w:val="32"/>
          <w:szCs w:val="32"/>
          <w:u w:val="none"/>
          <w:lang w:eastAsia="zh-CN"/>
        </w:rPr>
        <w:t>经查明，</w:t>
      </w:r>
      <w:r>
        <w:rPr>
          <w:rFonts w:hint="eastAsia" w:ascii="仿宋" w:hAnsi="仿宋" w:eastAsia="仿宋" w:cs="仿宋"/>
          <w:color w:val="221E1F"/>
          <w:sz w:val="32"/>
          <w:szCs w:val="32"/>
          <w:u w:val="none"/>
          <w:lang w:val="en-US" w:eastAsia="zh-CN"/>
        </w:rPr>
        <w:t>当事人</w:t>
      </w:r>
      <w:r>
        <w:rPr>
          <w:rFonts w:hint="eastAsia" w:ascii="仿宋" w:hAnsi="仿宋" w:eastAsia="仿宋" w:cs="仿宋"/>
          <w:sz w:val="32"/>
          <w:szCs w:val="32"/>
          <w:u w:val="none"/>
          <w:lang w:val="en-US" w:eastAsia="zh-CN"/>
        </w:rPr>
        <w:t>枣</w:t>
      </w:r>
      <w:r>
        <w:rPr>
          <w:rFonts w:hint="eastAsia" w:ascii="仿宋" w:hAnsi="仿宋" w:eastAsia="仿宋" w:cs="仿宋"/>
          <w:color w:val="221E1F"/>
          <w:spacing w:val="0"/>
          <w:sz w:val="32"/>
          <w:szCs w:val="32"/>
          <w:u w:val="none"/>
          <w:lang w:val="en-US" w:eastAsia="zh-CN"/>
        </w:rPr>
        <w:t>庄薛城区庆飞便利店在</w:t>
      </w:r>
      <w:r>
        <w:rPr>
          <w:rFonts w:hint="eastAsia" w:ascii="仿宋" w:hAnsi="仿宋" w:eastAsia="仿宋" w:cs="仿宋"/>
          <w:color w:val="221E1F"/>
          <w:sz w:val="32"/>
          <w:szCs w:val="32"/>
          <w:u w:val="none"/>
          <w:lang w:eastAsia="zh-CN"/>
        </w:rPr>
        <w:t>《烟草专卖零售许可证》</w:t>
      </w:r>
      <w:r>
        <w:rPr>
          <w:rFonts w:hint="eastAsia" w:ascii="仿宋" w:hAnsi="仿宋" w:eastAsia="仿宋" w:cs="仿宋"/>
          <w:color w:val="221E1F"/>
          <w:sz w:val="32"/>
          <w:szCs w:val="32"/>
          <w:u w:val="none"/>
          <w:lang w:val="en-US" w:eastAsia="zh-CN"/>
        </w:rPr>
        <w:t>未办理下来的情况下</w:t>
      </w:r>
      <w:r>
        <w:rPr>
          <w:rFonts w:hint="eastAsia" w:ascii="仿宋" w:hAnsi="仿宋" w:eastAsia="仿宋" w:cs="仿宋"/>
          <w:color w:val="221E1F"/>
          <w:sz w:val="32"/>
          <w:szCs w:val="32"/>
          <w:u w:val="none"/>
          <w:lang w:eastAsia="zh-CN"/>
        </w:rPr>
        <w:t>，擅自从事烟草制品销售的经营活动。当事人</w:t>
      </w:r>
      <w:r>
        <w:rPr>
          <w:rFonts w:hint="eastAsia" w:ascii="仿宋" w:hAnsi="仿宋" w:eastAsia="仿宋" w:cs="仿宋"/>
          <w:color w:val="221E1F"/>
          <w:sz w:val="32"/>
          <w:szCs w:val="32"/>
          <w:u w:val="none"/>
          <w:lang w:val="en-US" w:eastAsia="zh-CN"/>
        </w:rPr>
        <w:t>将从其他烟酒店购得的香烟</w:t>
      </w:r>
      <w:r>
        <w:rPr>
          <w:rFonts w:hint="eastAsia" w:ascii="仿宋" w:hAnsi="仿宋" w:eastAsia="仿宋" w:cs="仿宋"/>
          <w:color w:val="221E1F"/>
          <w:sz w:val="32"/>
          <w:szCs w:val="32"/>
          <w:u w:val="none"/>
          <w:lang w:eastAsia="zh-CN"/>
        </w:rPr>
        <w:t>（具体品种和数量详见薛城区烟草专卖局核价表）放在该店内销售，</w:t>
      </w:r>
      <w:r>
        <w:rPr>
          <w:rFonts w:hint="eastAsia" w:ascii="仿宋" w:hAnsi="仿宋" w:eastAsia="仿宋" w:cs="仿宋"/>
          <w:color w:val="221E1F"/>
          <w:spacing w:val="0"/>
          <w:sz w:val="32"/>
          <w:szCs w:val="32"/>
          <w:u w:val="none"/>
          <w:lang w:val="en-US" w:eastAsia="zh-CN"/>
        </w:rPr>
        <w:t>违法经营总额为2110元。</w:t>
      </w:r>
      <w:r>
        <w:rPr>
          <w:rFonts w:hint="eastAsia" w:ascii="仿宋" w:hAnsi="仿宋" w:eastAsia="仿宋" w:cs="仿宋"/>
          <w:color w:val="221E1F"/>
          <w:spacing w:val="-7"/>
          <w:sz w:val="32"/>
          <w:szCs w:val="32"/>
          <w:u w:val="none"/>
        </w:rPr>
        <w:t>202</w:t>
      </w:r>
      <w:r>
        <w:rPr>
          <w:rFonts w:hint="eastAsia" w:ascii="仿宋" w:hAnsi="仿宋" w:eastAsia="仿宋" w:cs="仿宋"/>
          <w:color w:val="221E1F"/>
          <w:spacing w:val="-7"/>
          <w:sz w:val="32"/>
          <w:szCs w:val="32"/>
          <w:u w:val="none"/>
          <w:lang w:val="en-US" w:eastAsia="zh-CN"/>
        </w:rPr>
        <w:t>4</w:t>
      </w:r>
      <w:r>
        <w:rPr>
          <w:rFonts w:hint="eastAsia" w:ascii="仿宋" w:hAnsi="仿宋" w:eastAsia="仿宋" w:cs="仿宋"/>
          <w:color w:val="221E1F"/>
          <w:spacing w:val="-7"/>
          <w:sz w:val="32"/>
          <w:szCs w:val="32"/>
          <w:u w:val="none"/>
        </w:rPr>
        <w:t>年</w:t>
      </w:r>
      <w:r>
        <w:rPr>
          <w:rFonts w:hint="eastAsia" w:ascii="仿宋" w:hAnsi="仿宋" w:eastAsia="仿宋" w:cs="仿宋"/>
          <w:color w:val="221E1F"/>
          <w:spacing w:val="-7"/>
          <w:sz w:val="32"/>
          <w:szCs w:val="32"/>
          <w:u w:val="none"/>
          <w:lang w:val="en-US" w:eastAsia="zh-CN"/>
        </w:rPr>
        <w:t>5</w:t>
      </w:r>
      <w:r>
        <w:rPr>
          <w:rFonts w:hint="eastAsia" w:ascii="仿宋" w:hAnsi="仿宋" w:eastAsia="仿宋" w:cs="仿宋"/>
          <w:color w:val="221E1F"/>
          <w:spacing w:val="-7"/>
          <w:sz w:val="32"/>
          <w:szCs w:val="32"/>
          <w:u w:val="none"/>
        </w:rPr>
        <w:t>月</w:t>
      </w:r>
      <w:r>
        <w:rPr>
          <w:rFonts w:hint="eastAsia" w:ascii="仿宋" w:hAnsi="仿宋" w:eastAsia="仿宋" w:cs="仿宋"/>
          <w:color w:val="221E1F"/>
          <w:spacing w:val="-7"/>
          <w:sz w:val="32"/>
          <w:szCs w:val="32"/>
          <w:u w:val="none"/>
          <w:lang w:val="en-US" w:eastAsia="zh-CN"/>
        </w:rPr>
        <w:t>21</w:t>
      </w:r>
      <w:r>
        <w:rPr>
          <w:rFonts w:hint="eastAsia" w:ascii="仿宋" w:hAnsi="仿宋" w:eastAsia="仿宋" w:cs="仿宋"/>
          <w:color w:val="221E1F"/>
          <w:spacing w:val="-7"/>
          <w:sz w:val="32"/>
          <w:szCs w:val="32"/>
          <w:u w:val="none"/>
        </w:rPr>
        <w:t>日，被薛城区烟草专卖局执法人员查获，</w:t>
      </w:r>
      <w:r>
        <w:rPr>
          <w:rFonts w:hint="eastAsia" w:ascii="仿宋" w:hAnsi="仿宋" w:eastAsia="仿宋" w:cs="仿宋"/>
          <w:color w:val="221E1F"/>
          <w:spacing w:val="0"/>
          <w:sz w:val="32"/>
          <w:szCs w:val="32"/>
          <w:u w:val="none"/>
          <w:lang w:val="en-US" w:eastAsia="zh-CN"/>
        </w:rPr>
        <w:t>于2024年5月24日移送我局，期间未及销售。</w:t>
      </w:r>
    </w:p>
    <w:p>
      <w:pPr>
        <w:spacing w:line="520" w:lineRule="exact"/>
        <w:ind w:firstLine="640" w:firstLineChars="200"/>
        <w:rPr>
          <w:rFonts w:ascii="仿宋_GB2312" w:hAnsi="Times New Roman" w:eastAsia="仿宋_GB2312" w:cs="仿宋_GB2312"/>
          <w:sz w:val="32"/>
          <w:szCs w:val="32"/>
        </w:rPr>
      </w:pPr>
      <w:r>
        <w:rPr>
          <w:rFonts w:hint="eastAsia" w:ascii="仿宋_GB2312" w:hAnsi="仿宋_GB2312" w:eastAsia="仿宋_GB2312" w:cs="仿宋_GB2312"/>
          <w:sz w:val="32"/>
          <w:szCs w:val="32"/>
        </w:rPr>
        <w:t>上述事实，主要有以下证据证明：</w:t>
      </w:r>
    </w:p>
    <w:p>
      <w:pPr>
        <w:rPr>
          <w:rFonts w:ascii="仿宋_GB2312" w:hAnsi="仿宋_GB2312" w:eastAsia="仿宋_GB2312" w:cs="仿宋_GB2312"/>
          <w:sz w:val="32"/>
          <w:szCs w:val="32"/>
        </w:rPr>
      </w:pPr>
      <w:bookmarkStart w:id="10" w:name="CALCULATE—ZJCL—tajCltjes_zjclxx"/>
      <w:r>
        <w:rPr>
          <w:rFonts w:hint="eastAsia" w:ascii="Times New Roman" w:hAnsi="Times New Roman" w:eastAsia="仿宋_GB2312" w:cs="仿宋_GB2312"/>
          <w:sz w:val="32"/>
          <w:u w:val="single"/>
        </w:rPr>
        <w:t>　　1.当事人营业执照复印件、身份证复印件各一份，证明当事人的经营主体和身份情况。</w:t>
      </w:r>
      <w:r>
        <w:rPr>
          <w:rFonts w:hint="eastAsia" w:ascii="Times New Roman" w:hAnsi="Times New Roman" w:eastAsia="仿宋_GB2312" w:cs="仿宋_GB2312"/>
          <w:sz w:val="32"/>
          <w:u w:val="single"/>
        </w:rPr>
        <w:br w:type="textWrapping"/>
      </w:r>
      <w:r>
        <w:rPr>
          <w:rFonts w:hint="eastAsia" w:ascii="Times New Roman" w:hAnsi="Times New Roman" w:eastAsia="仿宋_GB2312" w:cs="仿宋_GB2312"/>
          <w:sz w:val="32"/>
          <w:u w:val="single"/>
        </w:rPr>
        <w:t>　　2.枣庄市薛城区烟草专卖局移送资料一份（共8页），证明当事人无烟草专卖零售许可证经营烟草制品零售业务的事实。</w:t>
      </w:r>
      <w:r>
        <w:rPr>
          <w:rFonts w:hint="eastAsia" w:ascii="Times New Roman" w:hAnsi="Times New Roman" w:eastAsia="仿宋_GB2312" w:cs="仿宋_GB2312"/>
          <w:sz w:val="32"/>
          <w:u w:val="single"/>
        </w:rPr>
        <w:br w:type="textWrapping"/>
      </w:r>
      <w:r>
        <w:rPr>
          <w:rFonts w:hint="eastAsia" w:ascii="Times New Roman" w:hAnsi="Times New Roman" w:eastAsia="仿宋_GB2312" w:cs="仿宋_GB2312"/>
          <w:sz w:val="32"/>
          <w:u w:val="single"/>
        </w:rPr>
        <w:t>　　3.询问笔录一份（共2页），证明当事人对无烟草专卖零售许可证经营烟草制品零售业务违法事实的确认</w:t>
      </w:r>
      <w:r>
        <w:rPr>
          <w:rFonts w:hint="eastAsia" w:ascii="Times New Roman" w:hAnsi="Times New Roman" w:eastAsia="仿宋_GB2312" w:cs="仿宋_GB2312"/>
          <w:sz w:val="32"/>
          <w:u w:val="single"/>
        </w:rPr>
        <w:br w:type="textWrapping"/>
      </w:r>
      <w:r>
        <w:rPr>
          <w:rFonts w:hint="eastAsia" w:ascii="Times New Roman" w:hAnsi="Times New Roman" w:eastAsia="仿宋_GB2312" w:cs="仿宋_GB2312"/>
          <w:sz w:val="32"/>
          <w:u w:val="single"/>
        </w:rPr>
        <w:t>　　4.行政处罚决定书一份（薛市监处【2023】148号），证明当事人在202</w:t>
      </w:r>
      <w:r>
        <w:rPr>
          <w:rFonts w:hint="eastAsia" w:ascii="Times New Roman" w:hAnsi="Times New Roman" w:eastAsia="仿宋_GB2312" w:cs="仿宋_GB2312"/>
          <w:sz w:val="32"/>
          <w:u w:val="single"/>
          <w:lang w:val="en-US" w:eastAsia="zh-CN"/>
        </w:rPr>
        <w:t>4</w:t>
      </w:r>
      <w:r>
        <w:rPr>
          <w:rFonts w:hint="eastAsia" w:ascii="Times New Roman" w:hAnsi="Times New Roman" w:eastAsia="仿宋_GB2312" w:cs="仿宋_GB2312"/>
          <w:sz w:val="32"/>
          <w:u w:val="single"/>
        </w:rPr>
        <w:t>年被我局因其无《烟草专卖零售许可证》行政处罚，当事人已主动履行。</w:t>
      </w:r>
      <w:bookmarkEnd w:id="10"/>
    </w:p>
    <w:p>
      <w:pPr>
        <w:numPr>
          <w:ilvl w:val="0"/>
          <w:numId w:val="0"/>
        </w:numPr>
        <w:ind w:firstLine="640" w:firstLineChars="200"/>
        <w:rPr>
          <w:rFonts w:hint="eastAsia" w:ascii="仿宋" w:hAnsi="仿宋" w:eastAsia="仿宋" w:cs="仿宋"/>
          <w:color w:val="221E1F"/>
          <w:sz w:val="30"/>
          <w:szCs w:val="30"/>
          <w:u w:val="none"/>
          <w:lang w:val="en-US" w:eastAsia="zh-CN"/>
        </w:rPr>
      </w:pPr>
      <w:r>
        <w:rPr>
          <w:rFonts w:hint="eastAsia" w:ascii="Times New Roman" w:hAnsi="Times New Roman" w:eastAsia="仿宋_GB2312" w:cs="仿宋_GB2312"/>
          <w:sz w:val="32"/>
          <w:u w:val="none"/>
          <w:lang w:val="en-US" w:eastAsia="zh-CN"/>
        </w:rPr>
        <w:t>2</w:t>
      </w:r>
      <w:r>
        <w:rPr>
          <w:rFonts w:hint="eastAsia" w:ascii="Times New Roman" w:hAnsi="Times New Roman" w:eastAsia="仿宋_GB2312" w:cs="仿宋_GB2312"/>
          <w:sz w:val="32"/>
          <w:u w:val="none"/>
          <w:lang w:eastAsia="zh-CN"/>
        </w:rPr>
        <w:t>02</w:t>
      </w:r>
      <w:r>
        <w:rPr>
          <w:rFonts w:hint="eastAsia" w:ascii="Times New Roman" w:hAnsi="Times New Roman" w:eastAsia="仿宋_GB2312" w:cs="仿宋_GB2312"/>
          <w:sz w:val="32"/>
          <w:u w:val="none"/>
          <w:lang w:val="en-US" w:eastAsia="zh-CN"/>
        </w:rPr>
        <w:t>4</w:t>
      </w:r>
      <w:r>
        <w:rPr>
          <w:rFonts w:hint="eastAsia" w:ascii="Times New Roman" w:hAnsi="Times New Roman" w:eastAsia="仿宋_GB2312" w:cs="仿宋_GB2312"/>
          <w:sz w:val="32"/>
          <w:u w:val="none"/>
          <w:lang w:eastAsia="zh-CN"/>
        </w:rPr>
        <w:t>年</w:t>
      </w:r>
      <w:r>
        <w:rPr>
          <w:rFonts w:hint="eastAsia" w:ascii="Times New Roman" w:hAnsi="Times New Roman" w:eastAsia="仿宋_GB2312" w:cs="仿宋_GB2312"/>
          <w:sz w:val="32"/>
          <w:u w:val="none"/>
          <w:lang w:val="en-US" w:eastAsia="zh-CN"/>
        </w:rPr>
        <w:t>8</w:t>
      </w:r>
      <w:r>
        <w:rPr>
          <w:rFonts w:hint="eastAsia" w:ascii="Times New Roman" w:hAnsi="Times New Roman" w:eastAsia="仿宋_GB2312" w:cs="仿宋_GB2312"/>
          <w:sz w:val="32"/>
          <w:u w:val="none"/>
          <w:lang w:eastAsia="zh-CN"/>
        </w:rPr>
        <w:t>月</w:t>
      </w:r>
      <w:r>
        <w:rPr>
          <w:rFonts w:hint="eastAsia" w:ascii="Times New Roman" w:hAnsi="Times New Roman" w:eastAsia="仿宋_GB2312" w:cs="仿宋_GB2312"/>
          <w:sz w:val="32"/>
          <w:u w:val="none"/>
          <w:lang w:val="en-US" w:eastAsia="zh-CN"/>
        </w:rPr>
        <w:t>1</w:t>
      </w:r>
      <w:r>
        <w:rPr>
          <w:rFonts w:hint="eastAsia" w:ascii="Times New Roman" w:hAnsi="Times New Roman" w:eastAsia="仿宋_GB2312" w:cs="仿宋_GB2312"/>
          <w:sz w:val="32"/>
          <w:u w:val="none"/>
          <w:lang w:eastAsia="zh-CN"/>
        </w:rPr>
        <w:t>日，本局向当事人送达了薛市监罚告[202</w:t>
      </w:r>
      <w:r>
        <w:rPr>
          <w:rFonts w:hint="eastAsia" w:ascii="Times New Roman" w:hAnsi="Times New Roman" w:eastAsia="仿宋_GB2312" w:cs="仿宋_GB2312"/>
          <w:sz w:val="32"/>
          <w:u w:val="none"/>
          <w:lang w:val="en-US" w:eastAsia="zh-CN"/>
        </w:rPr>
        <w:t>4</w:t>
      </w:r>
      <w:r>
        <w:rPr>
          <w:rFonts w:hint="eastAsia" w:ascii="Times New Roman" w:hAnsi="Times New Roman" w:eastAsia="仿宋_GB2312" w:cs="仿宋_GB2312"/>
          <w:sz w:val="32"/>
          <w:u w:val="none"/>
          <w:lang w:eastAsia="zh-CN"/>
        </w:rPr>
        <w:t>]</w:t>
      </w:r>
      <w:r>
        <w:rPr>
          <w:rFonts w:hint="eastAsia" w:ascii="Times New Roman" w:hAnsi="Times New Roman" w:eastAsia="仿宋_GB2312" w:cs="仿宋_GB2312"/>
          <w:sz w:val="32"/>
          <w:u w:val="none"/>
          <w:lang w:val="en-US" w:eastAsia="zh-CN"/>
        </w:rPr>
        <w:t>89</w:t>
      </w:r>
      <w:r>
        <w:rPr>
          <w:rFonts w:hint="eastAsia" w:ascii="Times New Roman" w:hAnsi="Times New Roman" w:eastAsia="仿宋_GB2312" w:cs="仿宋_GB2312"/>
          <w:sz w:val="32"/>
          <w:u w:val="none"/>
          <w:lang w:eastAsia="zh-CN"/>
        </w:rPr>
        <w:t>号《行政处罚告知书》。</w:t>
      </w:r>
      <w:r>
        <w:rPr>
          <w:rFonts w:hint="eastAsia" w:ascii="仿宋" w:hAnsi="仿宋" w:eastAsia="仿宋" w:cs="仿宋"/>
          <w:color w:val="221E1F"/>
          <w:sz w:val="30"/>
          <w:szCs w:val="30"/>
          <w:u w:val="none"/>
          <w:lang w:eastAsia="zh-CN"/>
        </w:rPr>
        <w:t>当事人在法定期限内未提出陈述、申辩，也未要求举行听证。</w:t>
      </w:r>
      <w:bookmarkEnd w:id="9"/>
      <w:r>
        <w:rPr>
          <w:rFonts w:hint="eastAsia" w:ascii="仿宋" w:hAnsi="仿宋" w:eastAsia="仿宋" w:cs="仿宋"/>
          <w:b w:val="0"/>
          <w:bCs/>
          <w:color w:val="221E1F"/>
          <w:spacing w:val="0"/>
          <w:sz w:val="32"/>
          <w:szCs w:val="32"/>
          <w:u w:val="none"/>
          <w:lang w:val="en-US" w:eastAsia="zh-CN"/>
        </w:rPr>
        <w:t>当事人的行为违反了</w:t>
      </w:r>
      <w:r>
        <w:rPr>
          <w:rFonts w:hint="eastAsia" w:ascii="仿宋" w:hAnsi="仿宋" w:eastAsia="仿宋" w:cs="仿宋"/>
          <w:b w:val="0"/>
          <w:bCs/>
          <w:color w:val="221E1F"/>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构成未办理烟草专卖零售许可证，从事烟草制品零售经营活动的违法行为。</w:t>
      </w:r>
      <w:r>
        <w:rPr>
          <w:rFonts w:hint="eastAsia" w:ascii="仿宋" w:hAnsi="仿宋" w:eastAsia="仿宋" w:cs="仿宋"/>
          <w:color w:val="221E1F"/>
          <w:sz w:val="30"/>
          <w:szCs w:val="30"/>
          <w:u w:val="none"/>
          <w:lang w:val="en-US" w:eastAsia="zh-CN"/>
        </w:rPr>
        <w:t xml:space="preserve">         </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adjustRightInd/>
        <w:snapToGrid/>
        <w:spacing w:before="132" w:beforeAutospacing="0" w:after="378" w:afterAutospacing="0" w:line="480" w:lineRule="exact"/>
        <w:ind w:left="0" w:right="0" w:firstLine="640" w:firstLineChars="200"/>
        <w:jc w:val="left"/>
        <w:textAlignment w:val="auto"/>
        <w:rPr>
          <w:rFonts w:hint="eastAsia" w:ascii="仿宋" w:hAnsi="仿宋" w:eastAsia="仿宋" w:cs="仿宋"/>
          <w:color w:val="221E1F"/>
          <w:kern w:val="0"/>
          <w:sz w:val="32"/>
          <w:szCs w:val="32"/>
          <w:u w:val="none"/>
          <w:lang w:val="en-US" w:eastAsia="zh-CN"/>
        </w:rPr>
      </w:pPr>
      <w:r>
        <w:rPr>
          <w:rFonts w:hint="eastAsia" w:ascii="仿宋" w:hAnsi="仿宋" w:eastAsia="仿宋" w:cs="仿宋"/>
          <w:color w:val="221E1F"/>
          <w:kern w:val="0"/>
          <w:sz w:val="32"/>
          <w:szCs w:val="32"/>
          <w:u w:val="none"/>
          <w:lang w:val="en-US" w:eastAsia="zh-CN"/>
        </w:rPr>
        <w:t>当事人主动承认违法事实，能积极配合调查，符合市场监管总局《关于规范市场监督管理行政处罚裁量权的指导意见》</w:t>
      </w:r>
      <w:r>
        <w:rPr>
          <w:rFonts w:hint="default" w:ascii="仿宋" w:hAnsi="仿宋" w:eastAsia="仿宋" w:cs="仿宋"/>
          <w:color w:val="221E1F"/>
          <w:kern w:val="0"/>
          <w:sz w:val="32"/>
          <w:szCs w:val="32"/>
          <w:u w:val="none"/>
          <w:lang w:val="en-US" w:eastAsia="zh-CN"/>
        </w:rPr>
        <w:t>第十四条</w:t>
      </w:r>
      <w:r>
        <w:rPr>
          <w:rFonts w:hint="eastAsia" w:ascii="仿宋" w:hAnsi="仿宋" w:eastAsia="仿宋" w:cs="仿宋"/>
          <w:color w:val="221E1F"/>
          <w:kern w:val="0"/>
          <w:sz w:val="32"/>
          <w:szCs w:val="32"/>
          <w:u w:val="none"/>
          <w:lang w:val="en-US" w:eastAsia="zh-CN"/>
        </w:rPr>
        <w:t>“</w:t>
      </w:r>
      <w:r>
        <w:rPr>
          <w:rFonts w:hint="default" w:ascii="仿宋" w:hAnsi="仿宋" w:eastAsia="仿宋" w:cs="仿宋"/>
          <w:color w:val="221E1F"/>
          <w:kern w:val="0"/>
          <w:sz w:val="32"/>
          <w:szCs w:val="32"/>
          <w:u w:val="none"/>
          <w:lang w:val="en-US" w:eastAsia="zh-CN"/>
        </w:rPr>
        <w:t>有下列情形之一的，可以依法从轻或者减轻行政处罚：（二）积极配合市场监管部门调查并主动提供证据材料的；</w:t>
      </w:r>
      <w:r>
        <w:rPr>
          <w:rFonts w:hint="eastAsia" w:ascii="仿宋" w:hAnsi="仿宋" w:eastAsia="仿宋" w:cs="仿宋"/>
          <w:color w:val="221E1F"/>
          <w:kern w:val="0"/>
          <w:sz w:val="32"/>
          <w:szCs w:val="32"/>
          <w:u w:val="none"/>
          <w:lang w:val="en-US" w:eastAsia="zh-CN"/>
        </w:rPr>
        <w:t>”关于从轻处罚的规定，鉴于当事人于2024年1月23日因</w:t>
      </w:r>
      <w:r>
        <w:rPr>
          <w:rFonts w:hint="eastAsia" w:ascii="仿宋" w:hAnsi="仿宋" w:eastAsia="仿宋" w:cs="仿宋"/>
          <w:color w:val="221E1F"/>
          <w:spacing w:val="0"/>
          <w:sz w:val="32"/>
          <w:szCs w:val="32"/>
          <w:u w:val="none"/>
          <w:lang w:val="en-US" w:eastAsia="zh-CN"/>
        </w:rPr>
        <w:t>无烟草专卖零售许可证经营烟草制品零售业务被处罚（</w:t>
      </w:r>
      <w:r>
        <w:rPr>
          <w:rFonts w:hint="eastAsia" w:ascii="仿宋" w:hAnsi="仿宋" w:eastAsia="仿宋" w:cs="仿宋"/>
          <w:color w:val="221E1F"/>
          <w:sz w:val="32"/>
          <w:szCs w:val="32"/>
          <w:u w:val="single"/>
        </w:rPr>
        <w:t>薛</w:t>
      </w:r>
      <w:r>
        <w:rPr>
          <w:rFonts w:hint="eastAsia" w:ascii="仿宋" w:hAnsi="仿宋" w:eastAsia="仿宋" w:cs="仿宋"/>
          <w:color w:val="221E1F"/>
          <w:sz w:val="32"/>
          <w:szCs w:val="32"/>
        </w:rPr>
        <w:t>市监</w:t>
      </w:r>
      <w:r>
        <w:rPr>
          <w:rFonts w:hint="eastAsia" w:ascii="仿宋" w:hAnsi="仿宋" w:eastAsia="仿宋" w:cs="仿宋"/>
          <w:color w:val="221E1F"/>
          <w:sz w:val="32"/>
          <w:szCs w:val="32"/>
          <w:u w:val="single"/>
        </w:rPr>
        <w:t>处</w:t>
      </w:r>
      <w:r>
        <w:rPr>
          <w:rFonts w:hint="eastAsia" w:ascii="仿宋" w:hAnsi="仿宋" w:eastAsia="仿宋" w:cs="仿宋"/>
          <w:color w:val="221E1F"/>
          <w:sz w:val="32"/>
          <w:szCs w:val="32"/>
        </w:rPr>
        <w:t>〔</w:t>
      </w:r>
      <w:r>
        <w:rPr>
          <w:rFonts w:hint="eastAsia" w:ascii="仿宋" w:hAnsi="仿宋" w:eastAsia="仿宋" w:cs="仿宋"/>
          <w:spacing w:val="18"/>
          <w:sz w:val="32"/>
          <w:szCs w:val="32"/>
          <w:u w:val="single"/>
        </w:rPr>
        <w:t>202</w:t>
      </w:r>
      <w:r>
        <w:rPr>
          <w:rFonts w:hint="eastAsia" w:ascii="仿宋" w:hAnsi="仿宋" w:eastAsia="仿宋" w:cs="仿宋"/>
          <w:spacing w:val="18"/>
          <w:sz w:val="32"/>
          <w:szCs w:val="32"/>
          <w:u w:val="single"/>
          <w:lang w:val="en-US" w:eastAsia="zh-CN"/>
        </w:rPr>
        <w:t>3</w:t>
      </w:r>
      <w:r>
        <w:rPr>
          <w:rFonts w:hint="eastAsia" w:ascii="仿宋" w:hAnsi="仿宋" w:eastAsia="仿宋" w:cs="仿宋"/>
          <w:color w:val="221E1F"/>
          <w:sz w:val="32"/>
          <w:szCs w:val="32"/>
        </w:rPr>
        <w:t>〕</w:t>
      </w:r>
      <w:r>
        <w:rPr>
          <w:rFonts w:hint="eastAsia" w:ascii="仿宋" w:hAnsi="仿宋" w:eastAsia="仿宋" w:cs="仿宋"/>
          <w:color w:val="221E1F"/>
          <w:sz w:val="32"/>
          <w:szCs w:val="32"/>
          <w:lang w:val="en-US" w:eastAsia="zh-CN"/>
        </w:rPr>
        <w:t>148</w:t>
      </w:r>
      <w:r>
        <w:rPr>
          <w:rFonts w:hint="eastAsia" w:ascii="仿宋" w:hAnsi="仿宋" w:eastAsia="仿宋" w:cs="仿宋"/>
          <w:color w:val="221E1F"/>
          <w:sz w:val="32"/>
          <w:szCs w:val="32"/>
        </w:rPr>
        <w:t>号</w:t>
      </w:r>
      <w:r>
        <w:rPr>
          <w:rFonts w:hint="eastAsia" w:ascii="仿宋" w:hAnsi="仿宋" w:eastAsia="仿宋" w:cs="仿宋"/>
          <w:color w:val="221E1F"/>
          <w:sz w:val="32"/>
          <w:szCs w:val="32"/>
          <w:lang w:eastAsia="zh-CN"/>
        </w:rPr>
        <w:t>），</w:t>
      </w:r>
      <w:r>
        <w:rPr>
          <w:rFonts w:hint="eastAsia" w:ascii="仿宋" w:hAnsi="仿宋" w:eastAsia="仿宋" w:cs="仿宋"/>
          <w:color w:val="221E1F"/>
          <w:kern w:val="0"/>
          <w:sz w:val="32"/>
          <w:szCs w:val="32"/>
          <w:u w:val="none"/>
          <w:lang w:val="en-US" w:eastAsia="zh-CN"/>
        </w:rPr>
        <w:t>符合《山东省市场监督管理行使行政处罚裁量权适用规则》第十二条 “当事人有下列情形之一的，应当依法从重处罚：（八）因同一性质的违法行为受过刑事处罚，或一年内因同一性质的违法行为被市场监督管理部门处罚，或两年内三次以上实施违法行为被市场监督管理部门处罚的；”关于从重处罚的规定，参照《山东省市场监督管理局行政处罚裁量基准》</w:t>
      </w:r>
      <w:r>
        <w:rPr>
          <w:rFonts w:hint="eastAsia" w:ascii="仿宋" w:hAnsi="仿宋" w:eastAsia="仿宋" w:cs="仿宋"/>
          <w:color w:val="221E1F"/>
          <w:kern w:val="0"/>
          <w:sz w:val="32"/>
          <w:szCs w:val="32"/>
          <w:u w:val="none"/>
          <w:lang w:val="zh-CN" w:eastAsia="zh-CN"/>
        </w:rPr>
        <w:t>十五、其他领域监督管理</w:t>
      </w:r>
      <w:r>
        <w:rPr>
          <w:rFonts w:hint="eastAsia" w:ascii="仿宋" w:hAnsi="仿宋" w:eastAsia="仿宋" w:cs="仿宋"/>
          <w:color w:val="221E1F"/>
          <w:kern w:val="0"/>
          <w:sz w:val="32"/>
          <w:szCs w:val="32"/>
          <w:u w:val="none"/>
          <w:lang w:val="en-US" w:eastAsia="zh-CN"/>
        </w:rPr>
        <w:t>第六十六条“（二）裁量标准 2.【一般】经营额一万元以上五万元以下的，没收违法所得，处违法经营总额30%以上 40%以下的罚款。”之规定，决定对其按照一般标准处理。</w:t>
      </w:r>
    </w:p>
    <w:p>
      <w:pPr>
        <w:keepNext w:val="0"/>
        <w:keepLines w:val="0"/>
        <w:pageBreakBefore w:val="0"/>
        <w:widowControl w:val="0"/>
        <w:shd w:val="clear" w:color="auto" w:fill="FFFFFF"/>
        <w:kinsoku/>
        <w:wordWrap/>
        <w:overflowPunct/>
        <w:topLinePunct w:val="0"/>
        <w:bidi w:val="0"/>
        <w:adjustRightInd/>
        <w:snapToGrid/>
        <w:spacing w:after="225" w:line="480" w:lineRule="exact"/>
        <w:ind w:firstLine="640" w:firstLineChars="200"/>
        <w:jc w:val="both"/>
        <w:textAlignment w:val="auto"/>
        <w:rPr>
          <w:rFonts w:hint="eastAsia" w:ascii="仿宋" w:hAnsi="仿宋" w:eastAsia="仿宋" w:cs="仿宋"/>
          <w:color w:val="221E1F"/>
          <w:spacing w:val="0"/>
          <w:sz w:val="32"/>
          <w:szCs w:val="32"/>
          <w:u w:val="none"/>
          <w:lang w:val="en-US" w:eastAsia="zh-CN"/>
        </w:rPr>
      </w:pPr>
      <w:r>
        <w:rPr>
          <w:rFonts w:hint="eastAsia" w:ascii="仿宋" w:hAnsi="仿宋" w:eastAsia="仿宋" w:cs="仿宋"/>
          <w:color w:val="221E1F"/>
          <w:sz w:val="32"/>
          <w:szCs w:val="32"/>
          <w:u w:val="none"/>
          <w:lang w:val="en-US" w:eastAsia="zh-CN"/>
        </w:rPr>
        <w:t>综上，当事人上述行为违反了</w:t>
      </w:r>
      <w:r>
        <w:rPr>
          <w:rFonts w:hint="eastAsia" w:ascii="仿宋" w:hAnsi="仿宋" w:eastAsia="仿宋" w:cs="仿宋"/>
          <w:b w:val="0"/>
          <w:bCs/>
          <w:color w:val="221E1F"/>
          <w:spacing w:val="0"/>
          <w:kern w:val="0"/>
          <w:sz w:val="32"/>
          <w:szCs w:val="32"/>
          <w:u w:val="none"/>
          <w:lang w:val="en-US" w:eastAsia="zh-CN"/>
        </w:rPr>
        <w:t>《中华人民共和国烟草专卖法实施条例》第六条第一款“从事烟草专卖品的生产、批发、零售业务，以及经营烟草专卖品进出口业务和经营外国烟草制品购销业务的，必须依照《烟草专卖法》和本条例的规定，申请领取烟草专卖许可证”之规定，</w:t>
      </w:r>
      <w:r>
        <w:rPr>
          <w:rFonts w:hint="eastAsia" w:ascii="仿宋" w:hAnsi="仿宋" w:eastAsia="仿宋" w:cs="仿宋"/>
          <w:color w:val="221E1F"/>
          <w:sz w:val="32"/>
          <w:szCs w:val="32"/>
          <w:u w:val="none"/>
          <w:lang w:val="en-US" w:eastAsia="zh-CN"/>
        </w:rPr>
        <w:t>依据《中华人民共和国烟草专卖法》第三十二条“无烟草专卖零售许可证经营烟草制品零售业务的，由工商行政管理部门责令停止经营烟草制品零售业务，没收违法所得，并处罚款”及《中华人民共和国烟草专卖法实施条例》第五十七条“无烟草专卖零售许可证经营烟草制品零售业务的，由工商行政管理部门或者由工商行政管理部门根据烟草专卖行政主管部门的意见，责令停止经营烟草制品零售业务，没收违法所得，处以违法经营总额20%以上50%以下的罚款”的规定，决定对当事人处理如下：</w:t>
      </w:r>
      <w:r>
        <w:rPr>
          <w:rFonts w:hint="eastAsia" w:ascii="仿宋" w:hAnsi="仿宋" w:eastAsia="仿宋" w:cs="仿宋"/>
          <w:color w:val="221E1F"/>
          <w:spacing w:val="0"/>
          <w:sz w:val="32"/>
          <w:szCs w:val="32"/>
          <w:u w:val="none"/>
          <w:lang w:val="en-US" w:eastAsia="zh-CN"/>
        </w:rPr>
        <w:t>责令停止经营烟草制品零售业务，罚款630元，上缴财政。</w:t>
      </w:r>
    </w:p>
    <w:p>
      <w:pPr>
        <w:keepNext w:val="0"/>
        <w:keepLines w:val="0"/>
        <w:pageBreakBefore w:val="0"/>
        <w:widowControl/>
        <w:kinsoku/>
        <w:wordWrap/>
        <w:overflowPunct/>
        <w:topLinePunct w:val="0"/>
        <w:autoSpaceDE w:val="0"/>
        <w:autoSpaceDN w:val="0"/>
        <w:bidi w:val="0"/>
        <w:adjustRightInd/>
        <w:snapToGrid/>
        <w:spacing w:line="480" w:lineRule="exact"/>
        <w:ind w:firstLine="640" w:firstLineChars="200"/>
        <w:textAlignment w:val="auto"/>
        <w:rPr>
          <w:rFonts w:hint="eastAsia" w:ascii="仿宋" w:hAnsi="仿宋" w:eastAsia="仿宋" w:cs="仿宋"/>
          <w:color w:val="221E1F"/>
          <w:sz w:val="32"/>
          <w:szCs w:val="32"/>
          <w:u w:val="none"/>
          <w:lang w:eastAsia="zh-CN"/>
        </w:rPr>
      </w:pPr>
      <w:r>
        <w:rPr>
          <w:rFonts w:hint="eastAsia" w:ascii="仿宋" w:hAnsi="仿宋" w:eastAsia="仿宋" w:cs="仿宋"/>
          <w:color w:val="221E1F"/>
          <w:sz w:val="32"/>
          <w:szCs w:val="32"/>
          <w:u w:val="none"/>
          <w:lang w:eastAsia="zh-CN"/>
        </w:rPr>
        <w:t>当事人应自接到本处罚决定书之日起十五日内，将罚款缴至</w:t>
      </w:r>
      <w:r>
        <w:rPr>
          <w:rFonts w:hint="eastAsia" w:ascii="仿宋" w:hAnsi="仿宋" w:eastAsia="仿宋" w:cs="仿宋"/>
          <w:color w:val="221E1F"/>
          <w:sz w:val="32"/>
          <w:szCs w:val="32"/>
          <w:u w:val="none"/>
          <w:lang w:val="en-US" w:eastAsia="zh-CN"/>
        </w:rPr>
        <w:t>指定的</w:t>
      </w:r>
      <w:r>
        <w:rPr>
          <w:rFonts w:hint="eastAsia" w:ascii="仿宋" w:hAnsi="仿宋" w:eastAsia="仿宋" w:cs="仿宋"/>
          <w:color w:val="221E1F"/>
          <w:sz w:val="32"/>
          <w:szCs w:val="32"/>
          <w:u w:val="none"/>
          <w:lang w:eastAsia="zh-CN"/>
        </w:rPr>
        <w:t>银行</w:t>
      </w:r>
      <w:r>
        <w:rPr>
          <w:rFonts w:hint="eastAsia" w:ascii="仿宋" w:hAnsi="仿宋" w:eastAsia="仿宋" w:cs="仿宋"/>
          <w:color w:val="221E1F"/>
          <w:sz w:val="32"/>
          <w:szCs w:val="32"/>
          <w:u w:val="none"/>
          <w:lang w:val="en-US" w:eastAsia="zh-CN"/>
        </w:rPr>
        <w:t>或通过电子支付系统缴纳罚款，</w:t>
      </w:r>
      <w:r>
        <w:rPr>
          <w:rFonts w:hint="eastAsia" w:ascii="仿宋" w:hAnsi="仿宋" w:eastAsia="仿宋" w:cs="仿宋"/>
          <w:color w:val="221E1F"/>
          <w:sz w:val="32"/>
          <w:szCs w:val="32"/>
          <w:u w:val="none"/>
          <w:lang w:eastAsia="zh-CN"/>
        </w:rPr>
        <w:t>逾期不履行行政处罚决定的，本局将</w:t>
      </w:r>
      <w:r>
        <w:rPr>
          <w:rFonts w:hint="default" w:ascii="仿宋" w:hAnsi="仿宋" w:eastAsia="仿宋" w:cs="仿宋"/>
          <w:color w:val="221E1F"/>
          <w:sz w:val="32"/>
          <w:szCs w:val="32"/>
          <w:u w:val="none"/>
          <w:lang w:val="en-US" w:eastAsia="zh-CN"/>
        </w:rPr>
        <w:t>每日按罚款数额的百分之三加处罚款，</w:t>
      </w:r>
      <w:r>
        <w:rPr>
          <w:rFonts w:hint="eastAsia" w:ascii="仿宋" w:hAnsi="仿宋" w:eastAsia="仿宋" w:cs="仿宋"/>
          <w:color w:val="221E1F"/>
          <w:sz w:val="32"/>
          <w:szCs w:val="32"/>
          <w:u w:val="none"/>
          <w:lang w:val="en-US" w:eastAsia="zh-CN"/>
        </w:rPr>
        <w:t>并依法</w:t>
      </w:r>
      <w:r>
        <w:rPr>
          <w:rFonts w:hint="default" w:ascii="仿宋" w:hAnsi="仿宋" w:eastAsia="仿宋" w:cs="仿宋"/>
          <w:color w:val="221E1F"/>
          <w:sz w:val="32"/>
          <w:szCs w:val="32"/>
          <w:u w:val="none"/>
          <w:lang w:val="en-US" w:eastAsia="zh-CN"/>
        </w:rPr>
        <w:t>申请人民法院强制执行。</w:t>
      </w:r>
    </w:p>
    <w:p>
      <w:pPr>
        <w:pStyle w:val="4"/>
        <w:tabs>
          <w:tab w:val="left" w:pos="9060"/>
        </w:tabs>
        <w:spacing w:line="240" w:lineRule="auto"/>
        <w:ind w:firstLine="640" w:firstLineChars="200"/>
        <w:rPr>
          <w:rFonts w:ascii="Times New Roman" w:eastAsia="仿宋_GB2312" w:cs="仿宋_GB2312"/>
          <w:b w:val="0"/>
          <w:bCs/>
          <w:color w:val="auto"/>
          <w:u w:val="single"/>
        </w:rPr>
      </w:pPr>
      <w:r>
        <w:rPr>
          <w:rFonts w:hint="eastAsia" w:ascii="仿宋" w:hAnsi="仿宋" w:eastAsia="仿宋" w:cs="仿宋"/>
          <w:color w:val="221E1F"/>
          <w:sz w:val="32"/>
          <w:szCs w:val="32"/>
          <w:u w:val="none"/>
          <w:lang w:eastAsia="zh-CN"/>
        </w:rPr>
        <w:t>如不服本行政处罚决定，当事人可在接到本行政处罚决定书之日起六十日内向薛城区人民政府申请行政复议，也可以在六个月内依法向薛城区人民法院</w:t>
      </w:r>
      <w:r>
        <w:rPr>
          <w:rFonts w:hint="eastAsia" w:ascii="仿宋" w:hAnsi="仿宋" w:eastAsia="仿宋" w:cs="仿宋"/>
          <w:color w:val="221E1F"/>
          <w:sz w:val="32"/>
          <w:szCs w:val="32"/>
          <w:u w:val="none"/>
          <w:lang w:val="en-US" w:eastAsia="zh-CN"/>
        </w:rPr>
        <w:t>等有管辖权的法院</w:t>
      </w:r>
      <w:r>
        <w:rPr>
          <w:rFonts w:hint="eastAsia" w:ascii="仿宋" w:hAnsi="仿宋" w:eastAsia="仿宋" w:cs="仿宋"/>
          <w:color w:val="221E1F"/>
          <w:sz w:val="32"/>
          <w:szCs w:val="32"/>
          <w:u w:val="none"/>
          <w:lang w:eastAsia="zh-CN"/>
        </w:rPr>
        <w:t>提起行政诉讼。</w:t>
      </w:r>
    </w:p>
    <w:p>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default" w:ascii="Times New Roman" w:eastAsia="仿宋_GB2312" w:cs="仿宋_GB2312"/>
          <w:b w:val="0"/>
          <w:bCs/>
          <w:color w:val="auto"/>
          <w:u w:val="single"/>
          <w:lang w:val="en-US" w:eastAsia="zh-CN"/>
        </w:rPr>
      </w:pPr>
    </w:p>
    <w:p>
      <w:pPr>
        <w:widowControl/>
        <w:snapToGrid w:val="0"/>
        <w:spacing w:line="520" w:lineRule="exact"/>
        <w:jc w:val="left"/>
        <w:rPr>
          <w:rFonts w:ascii="Times New Roman" w:hAnsi="Times New Roman" w:eastAsia="仿宋_GB2312" w:cs="仿宋_GB2312"/>
          <w:color w:val="auto"/>
          <w:sz w:val="32"/>
          <w:szCs w:val="32"/>
        </w:rPr>
      </w:pPr>
    </w:p>
    <w:p>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pPr>
        <w:spacing w:line="560" w:lineRule="exact"/>
        <w:ind w:right="640" w:firstLine="601"/>
        <w:jc w:val="right"/>
        <w:rPr>
          <w:rFonts w:ascii="Times New Roman" w:hAnsi="Times New Roman" w:eastAsia="仿宋_GB2312" w:cs="仿宋"/>
          <w:color w:val="auto"/>
          <w:sz w:val="32"/>
          <w:szCs w:val="32"/>
        </w:rPr>
      </w:pPr>
      <w:bookmarkStart w:id="11" w:name="DYNAMIC—DWXX—tAj_dwmc—2"/>
      <w:r>
        <w:rPr>
          <w:rFonts w:hint="eastAsia" w:ascii="Times New Roman" w:hAnsi="Times New Roman" w:eastAsia="仿宋_GB2312" w:cs="仿宋"/>
          <w:color w:val="auto"/>
          <w:sz w:val="32"/>
        </w:rPr>
        <w:t>薛城区市场监督管理局</w:t>
      </w:r>
      <w:bookmarkEnd w:id="11"/>
      <w:r>
        <w:rPr>
          <w:rFonts w:hint="eastAsia" w:ascii="Times New Roman" w:hAnsi="Times New Roman" w:eastAsia="仿宋_GB2312" w:cs="仿宋"/>
          <w:color w:val="auto"/>
          <w:sz w:val="32"/>
          <w:szCs w:val="32"/>
        </w:rPr>
        <w:t xml:space="preserve">    </w:t>
      </w:r>
    </w:p>
    <w:p>
      <w:pPr>
        <w:spacing w:line="560" w:lineRule="exact"/>
        <w:ind w:right="640" w:firstLine="601"/>
        <w:jc w:val="right"/>
        <w:outlineLvl w:val="1"/>
        <w:rPr>
          <w:rFonts w:ascii="Times New Roman" w:hAnsi="Times New Roman" w:eastAsia="仿宋_GB2312" w:cs="仿宋"/>
          <w:color w:val="auto"/>
          <w:sz w:val="32"/>
          <w:szCs w:val="32"/>
        </w:rPr>
      </w:pPr>
      <w:r>
        <w:rPr>
          <w:rFonts w:hint="eastAsia" w:ascii="Times New Roman" w:hAnsi="Times New Roman" w:eastAsia="仿宋_GB2312" w:cs="仿宋"/>
          <w:color w:val="auto"/>
          <w:sz w:val="32"/>
          <w:szCs w:val="32"/>
        </w:rPr>
        <w:t>（印 章）</w:t>
      </w:r>
    </w:p>
    <w:p>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right"/>
        <w:textAlignment w:val="auto"/>
        <w:outlineLvl w:val="9"/>
        <w:rPr>
          <w:rFonts w:ascii="Times New Roman" w:hAnsi="Times New Roman" w:eastAsia="仿宋_GB2312" w:cs="仿宋_GB2312"/>
          <w:color w:val="auto"/>
          <w:sz w:val="32"/>
          <w:szCs w:val="32"/>
        </w:rPr>
      </w:pPr>
      <w:bookmarkStart w:id="12" w:name="CALCULATE—TIME—NOW"/>
      <w:r>
        <w:rPr>
          <w:rFonts w:hint="eastAsia" w:ascii="仿宋_GB2312" w:hAnsi="Times New Roman" w:eastAsia="仿宋_GB2312" w:cs="仿宋"/>
          <w:color w:val="auto"/>
          <w:sz w:val="32"/>
        </w:rPr>
        <w:t>2024年08月09日</w:t>
      </w:r>
      <w:bookmarkEnd w:id="12"/>
      <w:r>
        <w:rPr>
          <w:rFonts w:hint="eastAsia" w:ascii="Times New Roman" w:hAnsi="Times New Roman" w:eastAsia="仿宋_GB2312" w:cs="仿宋_GB2312"/>
          <w:color w:val="auto"/>
          <w:sz w:val="32"/>
          <w:szCs w:val="32"/>
        </w:rPr>
        <w:t xml:space="preserve">  </w:t>
      </w:r>
    </w:p>
    <w:p>
      <w:pPr>
        <w:widowControl/>
        <w:snapToGrid w:val="0"/>
        <w:spacing w:line="520" w:lineRule="exact"/>
        <w:jc w:val="right"/>
        <w:rPr>
          <w:rFonts w:ascii="Times New Roman" w:hAnsi="Times New Roman" w:eastAsia="仿宋_GB2312" w:cs="Mongolian Baiti"/>
          <w:color w:val="auto"/>
          <w:sz w:val="32"/>
          <w:szCs w:val="32"/>
        </w:rPr>
      </w:pPr>
    </w:p>
    <w:p>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auto"/>
          <w:sz w:val="32"/>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auto"/>
          <w:spacing w:val="-16"/>
        </w:rPr>
        <w:t>（市场监督管理部门将依法向社会公开行政处罚决定信息）</w:t>
      </w:r>
    </w:p>
    <w:p>
      <w:pPr>
        <w:spacing w:line="500" w:lineRule="exact"/>
        <w:rPr>
          <w:color w:val="auto"/>
        </w:rPr>
      </w:pPr>
      <w:r>
        <w:rPr>
          <w:rFonts w:ascii="Times New Roman" w:hAnsi="Times New Roman" w:eastAsia="仿宋_GB2312" w:cs="仿宋"/>
          <w:bCs/>
          <w:color w:val="auto"/>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auto"/>
          <w:sz w:val="32"/>
          <w:szCs w:val="32"/>
        </w:rPr>
        <w:t>本文书一式</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份送达，一份归档，</w:t>
      </w:r>
      <w:r>
        <w:rPr>
          <w:rFonts w:hint="eastAsia" w:ascii="Times New Roman" w:hAnsi="Times New Roman" w:eastAsia="仿宋_GB2312" w:cs="仿宋"/>
          <w:color w:val="auto"/>
          <w:sz w:val="32"/>
          <w:szCs w:val="32"/>
          <w:u w:val="single"/>
        </w:rPr>
        <w:t xml:space="preserve">             </w:t>
      </w:r>
      <w:r>
        <w:rPr>
          <w:rFonts w:hint="eastAsia" w:ascii="Times New Roman" w:hAnsi="Times New Roman" w:eastAsia="仿宋_GB2312" w:cs="仿宋"/>
          <w:color w:val="auto"/>
          <w:sz w:val="32"/>
          <w:szCs w:val="32"/>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0000400000000000000"/>
    <w:charset w:val="00"/>
    <w:family w:val="roman"/>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altName w:val="黑体"/>
    <w:panose1 w:val="02000000000000000000"/>
    <w:charset w:val="86"/>
    <w:family w:val="script"/>
    <w:pitch w:val="default"/>
    <w:sig w:usb0="00000000" w:usb1="00000000" w:usb2="00000000" w:usb3="00000000" w:csb0="00060000"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wMzY1OWY3ZTJlZDAzMmIyOWQxNDZjNmUzN2E4NGUifQ=="/>
    <w:docVar w:name="KSO_WPS_MARK_KEY" w:val="6363d6d0-dd54-4ff7-82df-2cce567ab1bb"/>
  </w:docVars>
  <w:rsids>
    <w:rsidRoot w:val="5BA419F7"/>
    <w:rsid w:val="00193C35"/>
    <w:rsid w:val="0032134F"/>
    <w:rsid w:val="02B83402"/>
    <w:rsid w:val="04CD463F"/>
    <w:rsid w:val="04FA4431"/>
    <w:rsid w:val="06BAE61F"/>
    <w:rsid w:val="071C7669"/>
    <w:rsid w:val="0776795A"/>
    <w:rsid w:val="07D01B5E"/>
    <w:rsid w:val="08365B64"/>
    <w:rsid w:val="0A466738"/>
    <w:rsid w:val="0B22091D"/>
    <w:rsid w:val="0CF71776"/>
    <w:rsid w:val="103E22C5"/>
    <w:rsid w:val="1350279A"/>
    <w:rsid w:val="14203063"/>
    <w:rsid w:val="143E1E38"/>
    <w:rsid w:val="152E563E"/>
    <w:rsid w:val="15B93156"/>
    <w:rsid w:val="18325353"/>
    <w:rsid w:val="18B229B2"/>
    <w:rsid w:val="19FE4517"/>
    <w:rsid w:val="1AE345F4"/>
    <w:rsid w:val="1DA4420A"/>
    <w:rsid w:val="1F2B5D07"/>
    <w:rsid w:val="1FD31F15"/>
    <w:rsid w:val="236534A4"/>
    <w:rsid w:val="244E1F2B"/>
    <w:rsid w:val="24626694"/>
    <w:rsid w:val="254C521D"/>
    <w:rsid w:val="258D6CE0"/>
    <w:rsid w:val="2B1B3EFC"/>
    <w:rsid w:val="2CEA3815"/>
    <w:rsid w:val="2DE10173"/>
    <w:rsid w:val="2F327E79"/>
    <w:rsid w:val="2F7CE1EF"/>
    <w:rsid w:val="30DB5683"/>
    <w:rsid w:val="342602B0"/>
    <w:rsid w:val="3585615B"/>
    <w:rsid w:val="368E5656"/>
    <w:rsid w:val="377FBB27"/>
    <w:rsid w:val="37F16547"/>
    <w:rsid w:val="38B63DA7"/>
    <w:rsid w:val="3930619F"/>
    <w:rsid w:val="3A4E178D"/>
    <w:rsid w:val="3BF97ECA"/>
    <w:rsid w:val="3C2965F0"/>
    <w:rsid w:val="3D8378AC"/>
    <w:rsid w:val="3F2604DF"/>
    <w:rsid w:val="3F6783E4"/>
    <w:rsid w:val="3FFF82D4"/>
    <w:rsid w:val="402E7C06"/>
    <w:rsid w:val="40FE5F8F"/>
    <w:rsid w:val="425049CE"/>
    <w:rsid w:val="42C42FA9"/>
    <w:rsid w:val="42E508EF"/>
    <w:rsid w:val="46F26A10"/>
    <w:rsid w:val="48C10000"/>
    <w:rsid w:val="4A256B30"/>
    <w:rsid w:val="4B8F0B22"/>
    <w:rsid w:val="4C02380F"/>
    <w:rsid w:val="4CC8271B"/>
    <w:rsid w:val="4D9306AE"/>
    <w:rsid w:val="4E8950D9"/>
    <w:rsid w:val="4F0457DF"/>
    <w:rsid w:val="50354221"/>
    <w:rsid w:val="53A233FA"/>
    <w:rsid w:val="547C0750"/>
    <w:rsid w:val="57503162"/>
    <w:rsid w:val="591F0542"/>
    <w:rsid w:val="5BA419F7"/>
    <w:rsid w:val="5BE64901"/>
    <w:rsid w:val="5BF91583"/>
    <w:rsid w:val="5BFB2E57"/>
    <w:rsid w:val="5DD7483B"/>
    <w:rsid w:val="5E5FAB03"/>
    <w:rsid w:val="5F9FEDD5"/>
    <w:rsid w:val="5FBEF003"/>
    <w:rsid w:val="5FE33914"/>
    <w:rsid w:val="5FFA4D85"/>
    <w:rsid w:val="602422E6"/>
    <w:rsid w:val="60B635F2"/>
    <w:rsid w:val="612E7E8C"/>
    <w:rsid w:val="64E43803"/>
    <w:rsid w:val="65F838C1"/>
    <w:rsid w:val="66733921"/>
    <w:rsid w:val="67BA0A97"/>
    <w:rsid w:val="69690BB2"/>
    <w:rsid w:val="6AD7030F"/>
    <w:rsid w:val="6BA506E6"/>
    <w:rsid w:val="6BCC1BB9"/>
    <w:rsid w:val="6D923254"/>
    <w:rsid w:val="6E04767D"/>
    <w:rsid w:val="6E6950E9"/>
    <w:rsid w:val="6F732ABB"/>
    <w:rsid w:val="6FF58B64"/>
    <w:rsid w:val="6FF8F863"/>
    <w:rsid w:val="701F435F"/>
    <w:rsid w:val="70CF02CA"/>
    <w:rsid w:val="71013020"/>
    <w:rsid w:val="710D7C3E"/>
    <w:rsid w:val="7376089F"/>
    <w:rsid w:val="75B2DA43"/>
    <w:rsid w:val="75BD90DB"/>
    <w:rsid w:val="77DF8BD4"/>
    <w:rsid w:val="77EFD5CC"/>
    <w:rsid w:val="77FFADAC"/>
    <w:rsid w:val="7B0F6E9A"/>
    <w:rsid w:val="7BFD6076"/>
    <w:rsid w:val="7C8E43D6"/>
    <w:rsid w:val="7DA813EB"/>
    <w:rsid w:val="7DFF108F"/>
    <w:rsid w:val="7EED8AE6"/>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1886</Words>
  <Characters>1990</Characters>
  <Lines>0</Lines>
  <Paragraphs>0</Paragraphs>
  <TotalTime>1</TotalTime>
  <ScaleCrop>false</ScaleCrop>
  <LinksUpToDate>false</LinksUpToDate>
  <CharactersWithSpaces>2250</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zzxd</cp:lastModifiedBy>
  <cp:lastPrinted>2024-08-09T01:48:00Z</cp:lastPrinted>
  <dcterms:modified xsi:type="dcterms:W3CDTF">2024-08-09T03:09:39Z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E34FC48E0B8940BC9B3E70957616125F_13</vt:lpwstr>
  </property>
</Properties>
</file>