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8003D">
      <w:pPr>
        <w:numPr>
          <w:ilvl w:val="0"/>
          <w:numId w:val="2"/>
        </w:num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DYNAMIC—DWXX—tAj_dwmc"/>
      <w:r>
        <w:rPr>
          <w:rFonts w:hint="default" w:ascii="方正小标宋简体" w:hAnsi="方正小标宋简体" w:eastAsia="方正小标宋简体" w:cs="方正小标宋简体"/>
          <w:color w:val="auto"/>
          <w:sz w:val="44"/>
        </w:rPr>
        <w:t>薛城区市场监督管理局</w:t>
      </w:r>
      <w:bookmarkEnd w:id="0"/>
    </w:p>
    <w:p w14:paraId="3B30AFAF">
      <w:pPr>
        <w:pStyle w:val="3"/>
        <w:keepNext w:val="0"/>
        <w:numPr>
          <w:ilvl w:val="0"/>
          <w:numId w:val="2"/>
        </w:numPr>
        <w:spacing w:before="0" w:after="0" w:line="640" w:lineRule="exact"/>
        <w:jc w:val="center"/>
        <w:rPr>
          <w:rFonts w:hint="eastAsia" w:eastAsia="方正小标宋简体" w:cs="方正小标宋简体"/>
          <w:color w:val="auto"/>
          <w:sz w:val="44"/>
          <w:szCs w:val="44"/>
        </w:rPr>
      </w:pPr>
      <w:bookmarkStart w:id="1" w:name="_Toc76683344"/>
      <w:r>
        <w:rPr>
          <w:rFonts w:hint="eastAsia" w:hAnsi="方正小标宋简体" w:eastAsia="方正小标宋简体" w:cs="方正小标宋简体"/>
          <w:color w:val="auto"/>
          <w:sz w:val="44"/>
          <w:szCs w:val="44"/>
          <w:lang w:val="en-US"/>
        </w:rPr>
        <w:t>行政处罚</w:t>
      </w:r>
      <w:r>
        <w:rPr>
          <w:rFonts w:hint="eastAsia" w:hAnsi="方正小标宋简体" w:eastAsia="方正小标宋简体" w:cs="方正小标宋简体"/>
          <w:color w:val="auto"/>
          <w:sz w:val="44"/>
          <w:szCs w:val="44"/>
          <w:lang w:val="en-US" w:eastAsia="zh-Hans"/>
        </w:rPr>
        <w:t>决定</w:t>
      </w:r>
      <w:r>
        <w:rPr>
          <w:rFonts w:hint="eastAsia" w:hAnsi="方正小标宋简体" w:eastAsia="方正小标宋简体" w:cs="方正小标宋简体"/>
          <w:color w:val="auto"/>
          <w:sz w:val="44"/>
          <w:szCs w:val="44"/>
          <w:lang w:val="en-US"/>
        </w:rPr>
        <w:t>书</w:t>
      </w:r>
      <w:bookmarkEnd w:id="1"/>
    </w:p>
    <w:p w14:paraId="654CD3CF">
      <w:pPr>
        <w:widowControl/>
        <w:snapToGrid w:val="0"/>
        <w:spacing w:line="560" w:lineRule="exact"/>
        <w:ind w:right="55"/>
        <w:jc w:val="center"/>
        <w:outlineLvl w:val="1"/>
        <w:rPr>
          <w:rFonts w:hint="eastAsia" w:ascii="Times New Roman" w:hAnsi="仿宋_GB2312" w:eastAsia="仿宋_GB2312" w:cs="仿宋_GB2312"/>
          <w:bCs/>
          <w:color w:val="auto"/>
          <w:sz w:val="32"/>
          <w:szCs w:val="32"/>
        </w:rPr>
      </w:pPr>
      <w:bookmarkStart w:id="2" w:name="tAj_wh"/>
      <w:r>
        <w:rPr>
          <w:rFonts w:hint="eastAsia" w:ascii="Times New Roman" w:hAnsi="Times New Roman" w:eastAsia="仿宋_GB2312" w:cs="Mongolian Baiti"/>
          <w:color w:val="auto"/>
          <w:sz w:val="32"/>
        </w:rPr>
        <w:t>薛市监处罚〔2025〕108号</w:t>
      </w:r>
      <w:bookmarkEnd w:id="2"/>
    </w:p>
    <w:p w14:paraId="72AC54E9">
      <w:pPr>
        <w:keepNext w:val="0"/>
        <w:keepLines w:val="0"/>
        <w:pageBreakBefore w:val="0"/>
        <w:kinsoku/>
        <w:overflowPunct/>
        <w:topLinePunct w:val="0"/>
        <w:bidi w:val="0"/>
        <w:spacing w:before="315" w:beforeLines="100" w:line="460" w:lineRule="exact"/>
        <w:ind w:left="142" w:hanging="142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/>
        </w:rPr>
        <w:t>当事人：</w:t>
      </w:r>
      <w:bookmarkStart w:id="3" w:name="CALCULATE—DSR—tAjDsrs_cMc"/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枣庄市薛城区视明爱眼视力咨询保健服务站</w:t>
      </w:r>
      <w:bookmarkEnd w:id="3"/>
      <w:r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/>
        </w:rPr>
        <w:t xml:space="preserve">                                            </w:t>
      </w:r>
    </w:p>
    <w:p w14:paraId="33080DCA"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ind w:left="140" w:hanging="1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/>
        </w:rPr>
        <w:t>主体资格证照名称：</w:t>
      </w:r>
      <w:bookmarkStart w:id="4" w:name="CALCULATE—DSR—tAjDsrs_cZtzgzzmc"/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营业执照</w:t>
      </w:r>
      <w:bookmarkEnd w:id="4"/>
      <w:r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/>
        </w:rPr>
        <w:t xml:space="preserve">                                  </w:t>
      </w:r>
    </w:p>
    <w:p w14:paraId="7F682BB3"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ind w:left="140" w:hanging="1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/>
        </w:rPr>
        <w:t>统一社会信用代码：</w:t>
      </w:r>
      <w:bookmarkStart w:id="5" w:name="CALCULATE—DSR—tAjDsrs_cTzshxydm"/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  <w:u w:val="none"/>
        </w:rPr>
        <w:t>92370403MA3KWJM82Q</w:t>
      </w:r>
      <w:bookmarkEnd w:id="5"/>
      <w:r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/>
        </w:rPr>
        <w:t xml:space="preserve">                                  </w:t>
      </w:r>
    </w:p>
    <w:p w14:paraId="05E3E36A"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ind w:left="140" w:hanging="14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/>
          <w:lang w:val="en-US" w:eastAsia="zh-CN"/>
        </w:rPr>
      </w:pPr>
      <w:bookmarkStart w:id="11" w:name="_GoBack"/>
      <w:bookmarkEnd w:id="11"/>
      <w:r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none"/>
        </w:rPr>
        <w:t xml:space="preserve">                                   </w:t>
      </w:r>
    </w:p>
    <w:p w14:paraId="3A6B812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我局接投诉举报称在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当事人处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购买卫康隐形眼镜护理液，注册号：国械注准2016316123，生产厂家：上海卫康光学眼镜有限公司，怀疑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没有第三类医疗器械许可证。2025年8月28日，我局执法人员根据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上述投诉举报情况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处进行核查。现场检查发现卫康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superscript"/>
        </w:rPr>
        <w:t>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隐形眼镜护理液，型号：QL10PHPDB005,规格：355毫升/瓶，医疗器械注册证编号：国械注准20163161623，注册人名称：上海卫康光学眼镜有限公司，数量1瓶。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现场无法提供医疗器械经营许可证，报经主管领导批准，对上述产品进行扣押。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未取得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医疗器械经营许可证经营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第三类医疗器械的行为，涉嫌违反了《医疗器械监督管理条例》第四十二条第一款的规定，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于当日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申请予以立案。</w:t>
      </w:r>
    </w:p>
    <w:p w14:paraId="4642D61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经调查，当事人称购买涉案隐形眼镜护理液自用，店员私自销售，未取得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医疗器械经营许可证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因是自用购买时未索要票据及资质等材料，购进涉案隐形眼镜护理液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2瓶，购进价格20.00元/瓶，销售价为25.00元/瓶，销售了1瓶，剩余1瓶被执法人员扣押。涉案货值50.00元，违法所得5.00元。</w:t>
      </w:r>
    </w:p>
    <w:p w14:paraId="2E568BAA">
      <w:pPr>
        <w:pStyle w:val="4"/>
        <w:keepNext w:val="0"/>
        <w:keepLines w:val="0"/>
        <w:pageBreakBefore w:val="0"/>
        <w:tabs>
          <w:tab w:val="left" w:pos="9060"/>
        </w:tabs>
        <w:kinsoku/>
        <w:overflowPunct/>
        <w:topLinePunct w:val="0"/>
        <w:bidi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现已查明，当事人未取得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医疗器械经营许可证经营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第三类医疗器械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违法事实存在。</w:t>
      </w:r>
    </w:p>
    <w:p w14:paraId="03B2740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上述事实，主要有以下证据证明：</w:t>
      </w:r>
      <w:bookmarkStart w:id="6" w:name="CALCULATE—ZJCL—tajCltjes_zjclxx"/>
    </w:p>
    <w:p w14:paraId="047F28E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1、《营业执照》1份，证明当事人具有合法主体资格。</w:t>
      </w:r>
    </w:p>
    <w:p w14:paraId="7B4C94D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2、赵雯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复印件1份，证明了被调查人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身份信息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 w14:paraId="7EBE29E8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3、《现场笔录》、《询问笔录》各1份，证明当事人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涉嫌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未取得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医疗器械经营许可证经营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违法事实，以及货值金额、违法所得。</w:t>
      </w:r>
    </w:p>
    <w:p w14:paraId="4D3FEA0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4、投诉举报材料1份，证明了案件来源情况。</w:t>
      </w:r>
      <w:bookmarkEnd w:id="6"/>
    </w:p>
    <w:p w14:paraId="10309A2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本局于20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日下达《行政处罚告知书》，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告知当事人拟作出行政处罚的事实、理由、依据和处罚内容，告知当事人依法享有陈述、申辩的权利，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并可以要求听证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在规定时间内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没有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陈述、申辩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意见，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未要求听证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，视为放弃该权利。</w:t>
      </w:r>
    </w:p>
    <w:p w14:paraId="7E1E518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本局认为，</w:t>
      </w:r>
      <w:bookmarkStart w:id="7" w:name="CALCULATE—WFFLFGXX—tAjCfes_cWfflfg—1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未取得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医疗器械经营许可证经营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第三类医疗器械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的行为，违反了《医疗器械监督管理条例》第四十二条第一款“从事第三类医疗器械经营的，经营企业应当向所在地设区的市级人民政府负责药品监督管理的部</w:t>
      </w:r>
      <w:r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/>
          <w:lang w:val="en-US" w:eastAsia="zh-CN"/>
        </w:rPr>
        <w:t>门申请经营许可并提交符合本条例第四十条规定条件的有关资料。”的规定。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/>
          <w:lang w:val="en-US" w:eastAsia="zh-CN"/>
        </w:rPr>
        <w:t>《医疗器械监督管理条例》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八十一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一款第（二）项“有下列情形之一的，由负责药品监督管理的部门没收违法所得、违法生产经营的医疗器械和用于违法生产经营的工具、设备、原材料等物品；违法生产经营的医疗器械货值金额不足1万元的，并处5万元以上15万元以下罚款；货值金额1万元以上的，并处货值金额15倍以上30倍以下罚款；情节严重的，责令停产停业，10年内不受理相关责任人以及单位提出的医疗器械许可申请，对违法单位的法定代表人、主要负责人、直接负责的主管人员和其他责任人员，没收违法行为发生期间自本单位所获收入，并处所获收入30%以上3倍以下罚款，终身禁止其从事医疗器械生产经营活动：（二）未经许可从事第二类、第三类医疗器械生产活动；”的规定给予以下处罚：1、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没收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卫康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superscript"/>
        </w:rPr>
        <w:t>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隐形眼镜护理液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1瓶；2、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没收违法所得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伍元整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5.00元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罚款人民币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伍仟元整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5000.00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bookmarkEnd w:id="7"/>
    <w:p w14:paraId="7CFBD936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/>
          <w:lang w:val="en-US" w:eastAsia="zh-CN"/>
        </w:rPr>
        <w:t>当事人未建立并执行医疗器械进货查验记录制度的行为，违反了《医疗器械监督管理条例》第四十五条第一款“医疗器械经营企业、使用单位应当从具备合法资质的医疗器械注册人、备案人、生产经营企业购进医疗器械。购进医疗器械时，应当查验供货者的资质和医疗器械的合格证明文件，建立进货查验记录制度。从事第二类、第三类医疗器械批发业务以及第三类医疗器械零售业务的经营企业，还应当建立销售记录制度”的规定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依据《医疗器械监督管理条例》第八十九条“有下列情形之一的，由负责药品监督管理的部门和卫生主管部门依据各自职责责令改正，给予警告；拒不改正的，处1万元以上10万元以下罚款；情节严重的，责令停产停业，直至由原发证部门吊销医疗器械注册证、医疗器械生产许可证、医疗器械经营许可证，对违法单位的法定代表人、主要负责人、直接负责的主管人员和其他责任人员处1万元以上3万元以下罚款（三）医疗器械经营企业、使用单位未依照本条例规定建立并执行医疗器械进货查验记录制度；”的规定，责令当事人改正，给予警告。</w:t>
      </w:r>
    </w:p>
    <w:p w14:paraId="0502C03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</w:pPr>
      <w:bookmarkStart w:id="8" w:name="CALCULATE—AJCF—tAjCfes_cZyclsshly"/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鉴于当事人能够积极配合调查，如实陈述违法事实并提供有关证据资料，其行为符合《山东省市场监督管理局行使行政处罚裁量权适用规则》第十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条第一款第（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、（四）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项“当事人有下列情形之一，可以从轻或者减轻处罚：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（三）积极配合市场监督管理部门调查并主动提供证据材料的；（四）违法行为轻微，社会危害性小的；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”中关于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减轻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处罚的规定情形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参照《山东省市场监督管理局行政处罚裁量基准》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序号1裁量阶次减轻“货值金额不足1万元的：5千元以上5万元以下罚款”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之规定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进行处罚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  <w:t xml:space="preserve">    </w:t>
      </w:r>
      <w:bookmarkEnd w:id="8"/>
    </w:p>
    <w:p w14:paraId="78AF6F7A">
      <w:pPr>
        <w:pStyle w:val="4"/>
        <w:keepNext w:val="0"/>
        <w:keepLines w:val="0"/>
        <w:pageBreakBefore w:val="0"/>
        <w:tabs>
          <w:tab w:val="left" w:pos="9060"/>
        </w:tabs>
        <w:kinsoku/>
        <w:overflowPunct/>
        <w:topLinePunct w:val="0"/>
        <w:bidi w:val="0"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</w:rPr>
        <w:t>综上，当事人上述行为违反了</w:t>
      </w:r>
      <w:r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/>
          <w:lang w:val="en-US" w:eastAsia="zh-CN"/>
        </w:rPr>
        <w:t>《医疗器械监督管理条例》第四十二条第一款和第四十五条第一款的规定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</w:rPr>
        <w:t>依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  <w:lang w:val="en-US" w:eastAsia="zh-Hans"/>
        </w:rPr>
        <w:t>据</w:t>
      </w:r>
      <w:r>
        <w:rPr>
          <w:rFonts w:hint="eastAsia" w:ascii="仿宋_GB2312" w:hAnsi="仿宋_GB2312" w:eastAsia="仿宋_GB2312" w:cs="仿宋_GB2312"/>
          <w:color w:val="221E1F"/>
          <w:spacing w:val="0"/>
          <w:w w:val="100"/>
          <w:sz w:val="32"/>
          <w:szCs w:val="32"/>
          <w:u w:val="none"/>
          <w:lang w:val="en-US" w:eastAsia="zh-CN"/>
        </w:rPr>
        <w:t>《医疗器械监督管理条例》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八十一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第一款第（二）和第八十九条的规定，经我局案件集体讨论决定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1"/>
          <w:sz w:val="32"/>
          <w:szCs w:val="32"/>
        </w:rPr>
        <w:t>处罚如下：</w:t>
      </w:r>
    </w:p>
    <w:p w14:paraId="52A753E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警告；</w:t>
      </w:r>
    </w:p>
    <w:p w14:paraId="397B2DA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没收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卫康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superscript"/>
        </w:rPr>
        <w:t>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隐形眼镜护理液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1瓶；</w:t>
      </w:r>
    </w:p>
    <w:p w14:paraId="19446D7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4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没收违法所得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伍元整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5.00元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）；</w:t>
      </w:r>
    </w:p>
    <w:p w14:paraId="6A5AEFB0">
      <w:pPr>
        <w:pStyle w:val="4"/>
        <w:keepNext w:val="0"/>
        <w:keepLines w:val="0"/>
        <w:pageBreakBefore w:val="0"/>
        <w:tabs>
          <w:tab w:val="left" w:pos="9060"/>
        </w:tabs>
        <w:kinsoku/>
        <w:overflowPunct/>
        <w:topLinePunct w:val="0"/>
        <w:bidi w:val="0"/>
        <w:spacing w:line="4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罚款人民币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伍仟元整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5000.00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罚没合计人民币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伍仟零伍元整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（¥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5005.00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0）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</w:t>
      </w:r>
    </w:p>
    <w:p w14:paraId="7B8B1FC9">
      <w:pPr>
        <w:pStyle w:val="4"/>
        <w:keepNext w:val="0"/>
        <w:keepLines w:val="0"/>
        <w:pageBreakBefore w:val="0"/>
        <w:widowControl w:val="0"/>
        <w:tabs>
          <w:tab w:val="left" w:pos="9060"/>
        </w:tabs>
        <w:kinsoku/>
        <w:overflowPunct/>
        <w:topLinePunct w:val="0"/>
        <w:bidi w:val="0"/>
        <w:snapToGrid/>
        <w:spacing w:line="4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>当事人应当自收到本行政处罚决定之日起十五日内，缴纳罚款，到期不缴纳罚款的，依据《中华人民共和国行政处罚法》第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 w:color="auto"/>
          <w:lang w:val="en-US" w:eastAsia="zh-Hans" w:bidi="ar-SA"/>
        </w:rPr>
        <w:t>七十二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 w:color="auto"/>
          <w:lang w:val="en-US" w:eastAsia="zh-CN" w:bidi="ar-SA"/>
        </w:rPr>
        <w:t xml:space="preserve">条的规定，本局将每日按罚款数额的百分之三加处罚款，并依法申请人民法院强制执行。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 w:color="231F20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u w:val="none"/>
        </w:rPr>
        <w:t xml:space="preserve">                           </w:t>
      </w:r>
    </w:p>
    <w:p w14:paraId="63C0334C">
      <w:pPr>
        <w:pStyle w:val="4"/>
        <w:keepNext w:val="0"/>
        <w:keepLines w:val="0"/>
        <w:pageBreakBefore w:val="0"/>
        <w:widowControl w:val="0"/>
        <w:tabs>
          <w:tab w:val="left" w:pos="8395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当事人如不服本行政处罚决定，可自收到本行政处罚决定书之日起六十日内，依法向薛城区人民政府申请复议；也可以自收到本行政处罚决定书之日起6个月内依法向薛城区人民法院等有管辖权的法院提起行政诉讼。诉讼、复议期间，本行政处罚不停止执行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2"/>
          <w:sz w:val="32"/>
          <w:szCs w:val="32"/>
          <w:u w:val="none"/>
          <w:lang w:val="en-US" w:eastAsia="zh-CN" w:bidi="ar-SA"/>
        </w:rPr>
        <w:t>(网上提交行政复议申请网址:http://124.128.58.185:9082/entrance?redirect=%2Findex)。</w:t>
      </w:r>
    </w:p>
    <w:p w14:paraId="7371AB0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 w:val="0"/>
        <w:spacing w:line="4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F1ADD2D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 w:val="0"/>
        <w:spacing w:line="460" w:lineRule="exact"/>
        <w:ind w:firstLine="6240" w:firstLineChars="19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</w:pPr>
    </w:p>
    <w:p w14:paraId="4954B1FC">
      <w:pPr>
        <w:keepNext w:val="0"/>
        <w:keepLines w:val="0"/>
        <w:pageBreakBefore w:val="0"/>
        <w:kinsoku/>
        <w:overflowPunct/>
        <w:topLinePunct w:val="0"/>
        <w:bidi w:val="0"/>
        <w:spacing w:line="460" w:lineRule="exact"/>
        <w:ind w:right="640" w:firstLine="601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9" w:name="DYNAMIC—DWXX—tAj_dwmc—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薛城区市场监督管理局</w:t>
      </w:r>
      <w:bookmarkEnd w:id="9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 w14:paraId="35F9D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630" w:rightChars="300" w:firstLine="600" w:firstLine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10" w:name="CALCULATE—TIME—NOW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2025年09月26日</w:t>
      </w:r>
      <w:bookmarkEnd w:id="1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</w:p>
    <w:p w14:paraId="7B07D11D">
      <w:pPr>
        <w:widowControl/>
        <w:snapToGrid w:val="0"/>
        <w:spacing w:line="520" w:lineRule="exact"/>
        <w:jc w:val="right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715F2EE9">
      <w:pPr>
        <w:pStyle w:val="2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12568C4A">
      <w:pPr>
        <w:pStyle w:val="2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3D6DE608">
      <w:pPr>
        <w:pStyle w:val="2"/>
        <w:rPr>
          <w:rFonts w:ascii="Times New Roman" w:hAnsi="Times New Roman" w:eastAsia="仿宋_GB2312" w:cs="Mongolian Baiti"/>
          <w:color w:val="auto"/>
          <w:sz w:val="32"/>
          <w:szCs w:val="32"/>
        </w:rPr>
      </w:pPr>
    </w:p>
    <w:p w14:paraId="4E3D25F1">
      <w:pPr>
        <w:pStyle w:val="4"/>
        <w:spacing w:before="1"/>
        <w:ind w:left="163"/>
        <w:rPr>
          <w:rFonts w:ascii="Times New Roman" w:hAnsi="Times New Roman" w:eastAsia="仿宋_GB2312" w:cs="仿宋"/>
          <w:bCs/>
          <w:color w:val="auto"/>
          <w:sz w:val="44"/>
          <w:szCs w:val="44"/>
        </w:rPr>
      </w:pPr>
      <w:r>
        <w:rPr>
          <w:rFonts w:ascii="Times New Roman" w:hAnsi="Times New Roman" w:eastAsia="仿宋_GB2312"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396875</wp:posOffset>
                </wp:positionV>
                <wp:extent cx="5550535" cy="635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5pt;margin-top:31.25pt;height:0.05pt;width:437.05pt;z-index:251661312;mso-width-relative:page;mso-height-relative:page;" filled="f" stroked="t" coordsize="21600,21600" o:gfxdata="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d&#10;1F2Z1gAAAAcBAAAPAAAAAAAAAAEAIAAAACIAAABkcnMvZG93bnJldi54bWxQSwECFAAUAAAACACH&#10;TuJAlk3HAe0BAADdAwAADgAAAAAAAAABACAAAAAlAQAAZHJzL2Uyb0RvYy54bWxQSwUGAAAAAAYA&#10;BgBZAQAAhA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/>
          <w:color w:val="auto"/>
          <w:spacing w:val="-16"/>
        </w:rPr>
        <w:t>（市场监督管理部门将依法向社会公开行政处罚决定信息）</w:t>
      </w:r>
    </w:p>
    <w:p w14:paraId="24ABCA07">
      <w:pPr>
        <w:spacing w:line="500" w:lineRule="exact"/>
        <w:rPr>
          <w:color w:val="auto"/>
        </w:rPr>
      </w:pPr>
      <w:r>
        <w:rPr>
          <w:rFonts w:ascii="Times New Roman" w:hAnsi="Times New Roman" w:eastAsia="仿宋_GB2312" w:cs="仿宋"/>
          <w:bCs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60288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Ivv85HXAAAACgEAAA8AAAAAAAAAAQAgAAAAIgAAAGRycy9kb3ducmV2LnhtbFBLAQIUABQA&#10;AAAIAIdO4kAJ1svO8QEAANsDAAAOAAAAAAAAAAEAIAAAACYBAABkcnMvZTJvRG9jLnhtbFBLBQYA&#10;AAAABgAGAFkBAACJBQAAAAA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lang w:val="en-US" w:eastAsia="zh-CN"/>
        </w:rPr>
        <w:t>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  <w:lang w:val="en-US" w:eastAsia="zh-CN"/>
        </w:rPr>
        <w:t xml:space="preserve"> 一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仿宋"/>
          <w:color w:val="auto"/>
          <w:sz w:val="32"/>
          <w:szCs w:val="32"/>
        </w:rPr>
        <w:t>份送达，一份归档。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ngal">
    <w:altName w:val="C059"/>
    <w:panose1 w:val="00000400000000000000"/>
    <w:charset w:val="00"/>
    <w:family w:val="roman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altName w:val="C059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D14A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69E95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69E95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EEB5F"/>
    <w:multiLevelType w:val="singleLevel"/>
    <w:tmpl w:val="AC2EEB5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0000008"/>
    <w:multiLevelType w:val="multilevel"/>
    <w:tmpl w:val="00000008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000000A"/>
    <w:multiLevelType w:val="multilevel"/>
    <w:tmpl w:val="0000000A"/>
    <w:lvl w:ilvl="0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M2U5YzI2ZWYzNzA3YjY5MWY2NDE1MjMyNWZjOTUifQ=="/>
    <w:docVar w:name="KSO_WPS_MARK_KEY" w:val="ad3abea3-8ba7-47a2-bc3f-332894d4261f"/>
  </w:docVars>
  <w:rsids>
    <w:rsidRoot w:val="5BA419F7"/>
    <w:rsid w:val="00193C35"/>
    <w:rsid w:val="0032134F"/>
    <w:rsid w:val="02B83402"/>
    <w:rsid w:val="04CD463F"/>
    <w:rsid w:val="04FA4431"/>
    <w:rsid w:val="06BAE61F"/>
    <w:rsid w:val="071C7669"/>
    <w:rsid w:val="0776795A"/>
    <w:rsid w:val="08365B64"/>
    <w:rsid w:val="0B22091D"/>
    <w:rsid w:val="0CF71776"/>
    <w:rsid w:val="103E22C5"/>
    <w:rsid w:val="1350279A"/>
    <w:rsid w:val="14110F0D"/>
    <w:rsid w:val="14203063"/>
    <w:rsid w:val="143E1E38"/>
    <w:rsid w:val="152E563E"/>
    <w:rsid w:val="15B93156"/>
    <w:rsid w:val="18325353"/>
    <w:rsid w:val="18B229B2"/>
    <w:rsid w:val="19FE4517"/>
    <w:rsid w:val="1AE345F4"/>
    <w:rsid w:val="1C176C9D"/>
    <w:rsid w:val="1DA4420A"/>
    <w:rsid w:val="1F2B5D07"/>
    <w:rsid w:val="1FD31F15"/>
    <w:rsid w:val="236534A4"/>
    <w:rsid w:val="244E1F2B"/>
    <w:rsid w:val="24626694"/>
    <w:rsid w:val="258D6CE0"/>
    <w:rsid w:val="2B1B3EFC"/>
    <w:rsid w:val="2CEA3815"/>
    <w:rsid w:val="2DE10173"/>
    <w:rsid w:val="2F327E79"/>
    <w:rsid w:val="2F7CE1EF"/>
    <w:rsid w:val="30DB5683"/>
    <w:rsid w:val="315F1A90"/>
    <w:rsid w:val="342602B0"/>
    <w:rsid w:val="3585615B"/>
    <w:rsid w:val="368E5656"/>
    <w:rsid w:val="377FBB27"/>
    <w:rsid w:val="37F16547"/>
    <w:rsid w:val="38B63DA7"/>
    <w:rsid w:val="3930619F"/>
    <w:rsid w:val="3A4E178D"/>
    <w:rsid w:val="3BF97ECA"/>
    <w:rsid w:val="3C2965F0"/>
    <w:rsid w:val="3F2604DF"/>
    <w:rsid w:val="3F6783E4"/>
    <w:rsid w:val="3F913A59"/>
    <w:rsid w:val="3FFF82D4"/>
    <w:rsid w:val="402E7C06"/>
    <w:rsid w:val="40FE5F8F"/>
    <w:rsid w:val="425049CE"/>
    <w:rsid w:val="4659781C"/>
    <w:rsid w:val="48C10000"/>
    <w:rsid w:val="4A256B30"/>
    <w:rsid w:val="4B8F0B22"/>
    <w:rsid w:val="4C02380F"/>
    <w:rsid w:val="4CC8271B"/>
    <w:rsid w:val="4D641CE2"/>
    <w:rsid w:val="4D9306AE"/>
    <w:rsid w:val="4E8950D9"/>
    <w:rsid w:val="4F0457DF"/>
    <w:rsid w:val="547C0750"/>
    <w:rsid w:val="57503162"/>
    <w:rsid w:val="591F0542"/>
    <w:rsid w:val="5BA419F7"/>
    <w:rsid w:val="5BF91583"/>
    <w:rsid w:val="5BFB2E57"/>
    <w:rsid w:val="5DD7483B"/>
    <w:rsid w:val="5E5FAB03"/>
    <w:rsid w:val="5F9FEDD5"/>
    <w:rsid w:val="5FBEF003"/>
    <w:rsid w:val="5FE33914"/>
    <w:rsid w:val="5FFA4D85"/>
    <w:rsid w:val="5FFFA4CF"/>
    <w:rsid w:val="602422E6"/>
    <w:rsid w:val="60B635F2"/>
    <w:rsid w:val="612E7E8C"/>
    <w:rsid w:val="647D6696"/>
    <w:rsid w:val="64E43803"/>
    <w:rsid w:val="66733921"/>
    <w:rsid w:val="69690BB2"/>
    <w:rsid w:val="6AD7030F"/>
    <w:rsid w:val="6BCC1BB9"/>
    <w:rsid w:val="6D923254"/>
    <w:rsid w:val="6E04767D"/>
    <w:rsid w:val="6E6950E9"/>
    <w:rsid w:val="6F732ABB"/>
    <w:rsid w:val="6FF58B64"/>
    <w:rsid w:val="6FF8F863"/>
    <w:rsid w:val="70CF02CA"/>
    <w:rsid w:val="71013020"/>
    <w:rsid w:val="710D7C3E"/>
    <w:rsid w:val="7376089F"/>
    <w:rsid w:val="75B2DA43"/>
    <w:rsid w:val="75BD90DB"/>
    <w:rsid w:val="77DF8BD4"/>
    <w:rsid w:val="77EFD5CC"/>
    <w:rsid w:val="77FFADAC"/>
    <w:rsid w:val="793370DB"/>
    <w:rsid w:val="7B0F6E9A"/>
    <w:rsid w:val="7BFD6076"/>
    <w:rsid w:val="7C8E43D6"/>
    <w:rsid w:val="7DA813EB"/>
    <w:rsid w:val="7DFF108F"/>
    <w:rsid w:val="7EED8AE6"/>
    <w:rsid w:val="7FEADF5C"/>
    <w:rsid w:val="91BF8AB9"/>
    <w:rsid w:val="9FF1B21D"/>
    <w:rsid w:val="B7BFD803"/>
    <w:rsid w:val="BD5EB179"/>
    <w:rsid w:val="BD7F788E"/>
    <w:rsid w:val="DEFF1EB3"/>
    <w:rsid w:val="DF3F4C88"/>
    <w:rsid w:val="DF7A9960"/>
    <w:rsid w:val="DFBF15D5"/>
    <w:rsid w:val="DFD70EC8"/>
    <w:rsid w:val="DFFE6C63"/>
    <w:rsid w:val="E53DE605"/>
    <w:rsid w:val="E775D448"/>
    <w:rsid w:val="ECC7B000"/>
    <w:rsid w:val="F0ED2927"/>
    <w:rsid w:val="F3EF5848"/>
    <w:rsid w:val="F5A28C7E"/>
    <w:rsid w:val="F9BF6AE4"/>
    <w:rsid w:val="FB57F652"/>
    <w:rsid w:val="FBBF88F6"/>
    <w:rsid w:val="FBFEBC90"/>
    <w:rsid w:val="FCF69F69"/>
    <w:rsid w:val="FD7BEF22"/>
    <w:rsid w:val="FD8BB826"/>
    <w:rsid w:val="FD9199D6"/>
    <w:rsid w:val="FDAC17BA"/>
    <w:rsid w:val="FDDF4064"/>
    <w:rsid w:val="FDF46C9E"/>
    <w:rsid w:val="FEAFF630"/>
    <w:rsid w:val="FEDEBCAC"/>
    <w:rsid w:val="FF7F62AA"/>
    <w:rsid w:val="FFDBA3A8"/>
    <w:rsid w:val="FFDF073B"/>
    <w:rsid w:val="FFFE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240" w:after="120"/>
      <w:jc w:val="left"/>
      <w:outlineLvl w:val="0"/>
    </w:pPr>
    <w:rPr>
      <w:rFonts w:ascii="Times New Roman" w:hAnsi="Times New Roman" w:cs="Mangal"/>
      <w:color w:val="00000A"/>
      <w:sz w:val="24"/>
      <w:lang w:val="zh-CN" w:bidi="hi-I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4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Arial Unicode MS" w:hAnsi="Times New Roman" w:eastAsia="Arial Unicode MS"/>
      <w:kern w:val="0"/>
      <w:sz w:val="32"/>
      <w:szCs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593</Words>
  <Characters>692</Characters>
  <Lines>0</Lines>
  <Paragraphs>0</Paragraphs>
  <TotalTime>2</TotalTime>
  <ScaleCrop>false</ScaleCrop>
  <LinksUpToDate>false</LinksUpToDate>
  <CharactersWithSpaces>1943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2021-08-02T18:04:00Z</dcterms:created>
  <dc:creator>胖林宝宝噜啦噜～</dc:creator>
  <cp:lastModifiedBy>01sj</cp:lastModifiedBy>
  <dcterms:modified xsi:type="dcterms:W3CDTF">2025-09-30T10:43:53Z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526F4C53292B48849053E71A59849707</vt:lpwstr>
  </property>
  <property fmtid="{D5CDD505-2E9C-101B-9397-08002B2CF9AE}" pid="4" name="KSOTemplateDocerSaveRecord">
    <vt:lpwstr>eyJoZGlkIjoiMDM5ODBmOTY1MDIwMjc4YjRlZWY0MWU1ZDJjMGQ0MGQifQ==</vt:lpwstr>
  </property>
</Properties>
</file>