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7AFBD">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auto"/>
          <w:sz w:val="44"/>
        </w:rPr>
        <w:t>薛城区市场监督管理局</w:t>
      </w:r>
      <w:bookmarkEnd w:id="0"/>
    </w:p>
    <w:p w14:paraId="29286241">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auto"/>
          <w:sz w:val="44"/>
          <w:szCs w:val="44"/>
          <w:lang w:val="en-US"/>
        </w:rPr>
        <w:t>行政处罚</w:t>
      </w:r>
      <w:r>
        <w:rPr>
          <w:rFonts w:hint="eastAsia" w:hAnsi="方正小标宋简体" w:eastAsia="方正小标宋简体" w:cs="方正小标宋简体"/>
          <w:color w:val="auto"/>
          <w:sz w:val="44"/>
          <w:szCs w:val="44"/>
          <w:lang w:val="en-US" w:eastAsia="zh-Hans"/>
        </w:rPr>
        <w:t>决定</w:t>
      </w:r>
      <w:r>
        <w:rPr>
          <w:rFonts w:hint="eastAsia" w:hAnsi="方正小标宋简体" w:eastAsia="方正小标宋简体" w:cs="方正小标宋简体"/>
          <w:color w:val="auto"/>
          <w:sz w:val="44"/>
          <w:szCs w:val="44"/>
          <w:lang w:val="en-US"/>
        </w:rPr>
        <w:t>书</w:t>
      </w:r>
      <w:bookmarkEnd w:id="1"/>
    </w:p>
    <w:p w14:paraId="3EA0E68B">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auto"/>
          <w:sz w:val="32"/>
        </w:rPr>
        <w:t>薛市监处罚〔2025〕124号</w:t>
      </w:r>
      <w:bookmarkEnd w:id="2"/>
    </w:p>
    <w:p w14:paraId="623C96FA">
      <w:pPr>
        <w:spacing w:before="315" w:beforeLines="100" w:line="540" w:lineRule="exact"/>
        <w:ind w:left="142" w:hanging="142"/>
        <w:rPr>
          <w:rFonts w:hint="eastAsia" w:ascii="Times New Roman" w:hAnsi="Times New Roman" w:eastAsia="仿宋_GB2312" w:cs="Mongolian Baiti"/>
          <w:b w:val="0"/>
          <w:bCs/>
          <w:color w:val="auto"/>
          <w:sz w:val="32"/>
          <w:szCs w:val="32"/>
          <w:u w:val="none" w:color="auto"/>
          <w:lang w:val="en-US" w:eastAsia="zh-CN"/>
        </w:rPr>
      </w:pPr>
      <w:r>
        <w:rPr>
          <w:rFonts w:hint="eastAsia" w:ascii="Times New Roman" w:hAnsi="Times New Roman" w:eastAsia="仿宋_GB2312" w:cs="Mongolian Baiti"/>
          <w:b w:val="0"/>
          <w:bCs/>
          <w:color w:val="auto"/>
          <w:kern w:val="1"/>
          <w:sz w:val="32"/>
          <w:szCs w:val="32"/>
          <w:u w:val="none" w:color="auto"/>
        </w:rPr>
        <w:t>当事人：</w:t>
      </w:r>
      <w:bookmarkStart w:id="3" w:name="CALCULATE—DSR—tAjDsrs_cMc"/>
      <w:r>
        <w:rPr>
          <w:rFonts w:hint="eastAsia" w:ascii="Times New Roman" w:hAnsi="Times New Roman" w:eastAsia="仿宋_GB2312" w:cs="Mongolian Baiti"/>
          <w:b w:val="0"/>
          <w:color w:val="auto"/>
          <w:sz w:val="32"/>
          <w:u w:val="none" w:color="auto"/>
        </w:rPr>
        <w:t>枣庄薛城区芸伟鞋服店</w:t>
      </w:r>
      <w:bookmarkEnd w:id="3"/>
      <w:r>
        <w:rPr>
          <w:rFonts w:hint="default" w:ascii="Times New Roman" w:hAnsi="Times New Roman" w:eastAsia="仿宋_GB2312" w:cs="Mongolian Baiti"/>
          <w:b w:val="0"/>
          <w:bCs/>
          <w:color w:val="auto"/>
          <w:kern w:val="1"/>
          <w:sz w:val="32"/>
          <w:szCs w:val="32"/>
          <w:u w:val="none" w:color="auto"/>
        </w:rPr>
        <w:t xml:space="preserve">  </w:t>
      </w:r>
      <w:r>
        <w:rPr>
          <w:rFonts w:hint="eastAsia" w:ascii="Times New Roman" w:hAnsi="Times New Roman" w:eastAsia="仿宋_GB2312" w:cs="Mongolian Baiti"/>
          <w:b w:val="0"/>
          <w:bCs/>
          <w:color w:val="auto"/>
          <w:kern w:val="1"/>
          <w:sz w:val="32"/>
          <w:szCs w:val="32"/>
          <w:u w:val="none" w:color="auto"/>
        </w:rPr>
        <w:t xml:space="preserve">   </w:t>
      </w:r>
      <w:r>
        <w:rPr>
          <w:rFonts w:hint="default" w:ascii="Times New Roman" w:hAnsi="Times New Roman" w:eastAsia="仿宋_GB2312" w:cs="Mongolian Baiti"/>
          <w:b w:val="0"/>
          <w:bCs/>
          <w:color w:val="auto"/>
          <w:kern w:val="1"/>
          <w:sz w:val="32"/>
          <w:szCs w:val="32"/>
          <w:u w:val="none" w:color="auto"/>
        </w:rPr>
        <w:t xml:space="preserve"> </w:t>
      </w:r>
      <w:r>
        <w:rPr>
          <w:rFonts w:hint="eastAsia" w:ascii="Times New Roman" w:hAnsi="Times New Roman" w:eastAsia="仿宋_GB2312" w:cs="Mongolian Baiti"/>
          <w:b w:val="0"/>
          <w:bCs/>
          <w:color w:val="auto"/>
          <w:kern w:val="1"/>
          <w:sz w:val="32"/>
          <w:szCs w:val="32"/>
          <w:u w:val="none" w:color="auto"/>
        </w:rPr>
        <w:t xml:space="preserve">                                      </w:t>
      </w:r>
    </w:p>
    <w:p w14:paraId="2C1E5899">
      <w:pPr>
        <w:spacing w:line="540" w:lineRule="exact"/>
        <w:ind w:left="140" w:hanging="140"/>
        <w:rPr>
          <w:rFonts w:hint="eastAsia" w:ascii="Times New Roman" w:hAnsi="Times New Roman" w:eastAsia="仿宋_GB2312" w:cs="Mongolian Baiti"/>
          <w:b w:val="0"/>
          <w:bCs/>
          <w:color w:val="auto"/>
          <w:kern w:val="1"/>
          <w:sz w:val="32"/>
          <w:szCs w:val="32"/>
          <w:u w:val="none" w:color="auto"/>
        </w:rPr>
      </w:pPr>
      <w:r>
        <w:rPr>
          <w:rFonts w:hint="eastAsia" w:ascii="Times New Roman" w:hAnsi="Times New Roman" w:eastAsia="仿宋_GB2312" w:cs="微软雅黑"/>
          <w:b w:val="0"/>
          <w:bCs/>
          <w:color w:val="auto"/>
          <w:kern w:val="1"/>
          <w:sz w:val="32"/>
          <w:szCs w:val="32"/>
          <w:u w:val="none" w:color="auto"/>
        </w:rPr>
        <w:t>主体资格证照</w:t>
      </w:r>
      <w:r>
        <w:rPr>
          <w:rFonts w:hint="eastAsia" w:ascii="Times New Roman" w:hAnsi="Times New Roman" w:eastAsia="仿宋_GB2312" w:cs="Mongolian Baiti"/>
          <w:b w:val="0"/>
          <w:bCs/>
          <w:color w:val="auto"/>
          <w:kern w:val="1"/>
          <w:sz w:val="32"/>
          <w:szCs w:val="32"/>
          <w:u w:val="none" w:color="auto"/>
        </w:rPr>
        <w:t>名称：</w:t>
      </w:r>
      <w:bookmarkStart w:id="4" w:name="CALCULATE—DSR—tAjDsrs_cZtzgzzmc"/>
      <w:r>
        <w:rPr>
          <w:rFonts w:hint="eastAsia" w:ascii="Times New Roman" w:hAnsi="Times New Roman" w:eastAsia="仿宋_GB2312" w:cs="Mongolian Baiti"/>
          <w:b w:val="0"/>
          <w:color w:val="auto"/>
          <w:sz w:val="32"/>
          <w:u w:val="none" w:color="auto"/>
        </w:rPr>
        <w:t>营业执照</w:t>
      </w:r>
      <w:bookmarkEnd w:id="4"/>
      <w:r>
        <w:rPr>
          <w:rFonts w:hint="eastAsia" w:ascii="Times New Roman" w:hAnsi="Times New Roman" w:eastAsia="仿宋_GB2312" w:cs="Mongolian Baiti"/>
          <w:b w:val="0"/>
          <w:bCs/>
          <w:color w:val="auto"/>
          <w:kern w:val="1"/>
          <w:sz w:val="32"/>
          <w:szCs w:val="32"/>
          <w:u w:val="none" w:color="auto"/>
        </w:rPr>
        <w:t xml:space="preserve">                                  </w:t>
      </w:r>
    </w:p>
    <w:p w14:paraId="166F6B36">
      <w:pPr>
        <w:spacing w:line="540" w:lineRule="exact"/>
        <w:ind w:left="140" w:hanging="140"/>
        <w:rPr>
          <w:rFonts w:hint="default" w:ascii="Times New Roman" w:hAnsi="Times New Roman" w:eastAsia="仿宋_GB2312" w:cs="Mongolian Baiti"/>
          <w:b w:val="0"/>
          <w:bCs/>
          <w:color w:val="auto"/>
          <w:kern w:val="1"/>
          <w:sz w:val="32"/>
          <w:szCs w:val="32"/>
          <w:u w:val="none" w:color="auto"/>
          <w:lang w:val="en-US" w:eastAsia="zh-CN"/>
        </w:rPr>
      </w:pPr>
      <w:r>
        <w:rPr>
          <w:rFonts w:hint="eastAsia" w:ascii="Times New Roman" w:hAnsi="Times New Roman" w:eastAsia="仿宋_GB2312" w:cs="Mongolian Baiti"/>
          <w:b w:val="0"/>
          <w:bCs/>
          <w:color w:val="auto"/>
          <w:kern w:val="1"/>
          <w:sz w:val="32"/>
          <w:szCs w:val="32"/>
          <w:u w:val="none" w:color="auto"/>
        </w:rPr>
        <w:t>统一社会信用代码：</w:t>
      </w:r>
      <w:bookmarkStart w:id="5" w:name="CALCULATE—DSR—tAjDsrs_cTzshxydm"/>
      <w:r>
        <w:rPr>
          <w:rFonts w:hint="eastAsia" w:ascii="Times New Roman" w:hAnsi="Times New Roman" w:eastAsia="仿宋_GB2312" w:cs="Mongolian Baiti"/>
          <w:b w:val="0"/>
          <w:color w:val="auto"/>
          <w:sz w:val="32"/>
          <w:u w:val="none" w:color="auto"/>
        </w:rPr>
        <w:t>92370403MABXBW2G8P</w:t>
      </w:r>
      <w:bookmarkEnd w:id="5"/>
      <w:r>
        <w:rPr>
          <w:rFonts w:hint="eastAsia" w:ascii="Times New Roman" w:hAnsi="Times New Roman" w:eastAsia="仿宋_GB2312" w:cs="Mongolian Baiti"/>
          <w:b w:val="0"/>
          <w:bCs/>
          <w:color w:val="auto"/>
          <w:kern w:val="1"/>
          <w:sz w:val="32"/>
          <w:szCs w:val="32"/>
          <w:u w:val="none" w:color="auto"/>
        </w:rPr>
        <w:t xml:space="preserve">                                  </w:t>
      </w:r>
    </w:p>
    <w:p w14:paraId="70078E71">
      <w:pPr>
        <w:spacing w:line="540" w:lineRule="exact"/>
        <w:ind w:left="140" w:hanging="140"/>
        <w:rPr>
          <w:rFonts w:hint="eastAsia" w:ascii="仿宋_GB2312" w:hAnsi="方正仿宋_GBK" w:eastAsia="仿宋_GB2312"/>
          <w:b w:val="0"/>
          <w:bCs/>
          <w:color w:val="auto"/>
          <w:u w:val="none" w:color="auto"/>
        </w:rPr>
      </w:pPr>
      <w:r>
        <w:rPr>
          <w:rFonts w:hint="eastAsia" w:ascii="Times New Roman" w:hAnsi="Times New Roman" w:eastAsia="仿宋_GB2312" w:cs="Mongolian Baiti"/>
          <w:b w:val="0"/>
          <w:bCs/>
          <w:color w:val="auto"/>
          <w:kern w:val="1"/>
          <w:sz w:val="32"/>
          <w:szCs w:val="32"/>
          <w:u w:val="none" w:color="auto"/>
        </w:rPr>
        <w:t>住所（住址）：</w:t>
      </w:r>
      <w:bookmarkStart w:id="6" w:name="CALCULATE—DSR—tAjDsrs_cLxdzSheng"/>
      <w:r>
        <w:rPr>
          <w:rFonts w:hint="eastAsia" w:ascii="Times New Roman" w:hAnsi="Times New Roman" w:eastAsia="仿宋_GB2312" w:cs="Mongolian Baiti"/>
          <w:b w:val="0"/>
          <w:color w:val="auto"/>
          <w:sz w:val="32"/>
          <w:u w:val="none" w:color="auto"/>
        </w:rPr>
        <w:t>山东省枣庄市薛城区新城街道黄河路双子星恒太城内3F-003号</w:t>
      </w:r>
      <w:bookmarkEnd w:id="6"/>
      <w:r>
        <w:rPr>
          <w:rFonts w:hint="eastAsia" w:ascii="Times New Roman" w:hAnsi="Times New Roman" w:eastAsia="仿宋_GB2312" w:cs="Mongolian Baiti"/>
          <w:b w:val="0"/>
          <w:bCs/>
          <w:color w:val="auto"/>
          <w:kern w:val="1"/>
          <w:sz w:val="32"/>
          <w:szCs w:val="32"/>
          <w:u w:val="none" w:color="auto"/>
        </w:rPr>
        <w:t xml:space="preserve">                                      </w:t>
      </w:r>
      <w:r>
        <w:rPr>
          <w:rFonts w:hint="eastAsia" w:ascii="Times New Roman" w:hAnsi="Times New Roman" w:eastAsia="仿宋_GB2312" w:cs="Mongolian Baiti"/>
          <w:b w:val="0"/>
          <w:bCs/>
          <w:color w:val="auto"/>
          <w:kern w:val="1"/>
          <w:sz w:val="32"/>
          <w:szCs w:val="32"/>
          <w:u w:val="none" w:color="auto"/>
          <w:lang w:val="en-US" w:eastAsia="zh-CN"/>
        </w:rPr>
        <w:t xml:space="preserve"> </w:t>
      </w:r>
      <w:bookmarkStart w:id="9" w:name="_GoBack"/>
      <w:bookmarkEnd w:id="9"/>
    </w:p>
    <w:p w14:paraId="5F222983">
      <w:pPr>
        <w:pStyle w:val="3"/>
        <w:tabs>
          <w:tab w:val="left" w:pos="9060"/>
        </w:tabs>
        <w:spacing w:line="240" w:lineRule="auto"/>
        <w:ind w:firstLine="640" w:firstLineChars="200"/>
        <w:rPr>
          <w:rFonts w:hint="default" w:ascii="仿宋_GB2312" w:hAnsi="方正仿宋_GBK" w:eastAsia="仿宋_GB2312"/>
          <w:b w:val="0"/>
          <w:bCs/>
          <w:color w:val="auto"/>
          <w:u w:val="none" w:color="auto"/>
          <w:lang w:val="en-US" w:eastAsia="zh-CN"/>
        </w:rPr>
      </w:pPr>
      <w:r>
        <w:rPr>
          <w:rFonts w:hint="eastAsia" w:ascii="仿宋_GB2312" w:hAnsi="方正仿宋_GBK" w:eastAsia="仿宋_GB2312"/>
          <w:b w:val="0"/>
          <w:bCs/>
          <w:color w:val="auto"/>
          <w:u w:val="none" w:color="auto"/>
          <w:lang w:val="en-US" w:eastAsia="zh-CN"/>
        </w:rPr>
        <w:t xml:space="preserve">2025年7月17日，山东省市场监督管理局对当事人经营的标注“双星名人”图形商标的儿童产品4X-E3（童鞋）进行产品质量监督抽检，检验结论为“经抽样检验，邻苯二甲酸酯项目不符合GB30585-2014标准，依据《山东省童鞋产品质量监督抽查实施细则（2025年版）》，判定为被抽查产品不合格。”检验报告编号为№：XF0100385-2025。2025年9月25日，我局执法人员向当事人送达了上述检验报告并进行现场检查，发现抽检不合格批次童鞋两双（含备样）并采取扣押强制措施。当事人涉嫌经营不符合国家标准的童鞋，当日立案调查。当事人在规定期限内未提出异议。　                     </w:t>
      </w:r>
    </w:p>
    <w:p w14:paraId="1E032A0B">
      <w:pPr>
        <w:pStyle w:val="3"/>
        <w:tabs>
          <w:tab w:val="left" w:pos="8240"/>
        </w:tabs>
        <w:spacing w:line="240" w:lineRule="auto"/>
        <w:ind w:firstLine="640" w:firstLineChars="200"/>
        <w:rPr>
          <w:rFonts w:hint="default" w:ascii="Times New Roman" w:hAnsi="Times New Roman" w:eastAsia="仿宋_GB2312" w:cs="Mongolian Baiti"/>
          <w:b w:val="0"/>
          <w:bCs/>
          <w:color w:val="auto"/>
          <w:kern w:val="1"/>
          <w:sz w:val="32"/>
          <w:szCs w:val="32"/>
          <w:u w:val="none" w:color="auto"/>
          <w:lang w:val="en-US" w:eastAsia="zh-CN"/>
        </w:rPr>
      </w:pPr>
      <w:r>
        <w:rPr>
          <w:rFonts w:hint="eastAsia" w:ascii="Times New Roman" w:eastAsia="仿宋_GB2312" w:cs="Mongolian Baiti"/>
          <w:b w:val="0"/>
          <w:bCs/>
          <w:color w:val="auto"/>
          <w:kern w:val="1"/>
          <w:u w:val="none" w:color="auto"/>
        </w:rPr>
        <w:t>经查，当事人从滕州市北辛鹏程鞋帽批发部购进抽检不合格批次童鞋4双，购进价格为60元/双，以70元的价格销售3双，剩余1双及备样1双共2双童鞋被采取扣押强制措施，货值共计280元，违法所得30元。当事人提供了供货商资质、购进单据、销售单据等证据材料。经调查确认，当事人涉嫌经营不符合国家标准的童鞋的违法事实存在。</w:t>
      </w:r>
      <w:r>
        <w:rPr>
          <w:rFonts w:hint="eastAsia" w:ascii="仿宋_GB2312" w:hAnsi="方正仿宋_GBK" w:eastAsia="仿宋_GB2312"/>
          <w:b w:val="0"/>
          <w:bCs/>
          <w:color w:val="auto"/>
          <w:u w:val="none" w:color="auto"/>
          <w:lang w:val="en-US" w:eastAsia="zh-CN"/>
        </w:rPr>
        <w:t xml:space="preserve">  </w:t>
      </w:r>
      <w:r>
        <w:rPr>
          <w:rFonts w:hint="eastAsia" w:ascii="Times New Roman" w:hAnsi="Times New Roman" w:eastAsia="仿宋_GB2312" w:cs="Mongolian Baiti"/>
          <w:b w:val="0"/>
          <w:bCs/>
          <w:color w:val="auto"/>
          <w:kern w:val="1"/>
          <w:sz w:val="32"/>
          <w:szCs w:val="32"/>
          <w:u w:val="none" w:color="auto"/>
        </w:rPr>
        <w:t xml:space="preserve">                          </w:t>
      </w:r>
      <w:r>
        <w:rPr>
          <w:rFonts w:hint="eastAsia" w:ascii="Times New Roman" w:eastAsia="仿宋_GB2312" w:cs="Mongolian Baiti"/>
          <w:b w:val="0"/>
          <w:bCs/>
          <w:color w:val="auto"/>
          <w:kern w:val="1"/>
          <w:sz w:val="32"/>
          <w:szCs w:val="32"/>
          <w:u w:val="none" w:color="auto"/>
          <w:lang w:val="en-US" w:eastAsia="zh-CN"/>
        </w:rPr>
        <w:t xml:space="preserve">                      </w:t>
      </w:r>
    </w:p>
    <w:p w14:paraId="2CD0E48F">
      <w:pPr>
        <w:pStyle w:val="3"/>
        <w:tabs>
          <w:tab w:val="left" w:pos="8285"/>
        </w:tabs>
        <w:spacing w:line="520" w:lineRule="exact"/>
        <w:ind w:firstLine="640" w:firstLineChars="200"/>
        <w:rPr>
          <w:rFonts w:hint="default" w:ascii="仿宋_GB2312" w:hAnsi="方正仿宋_GBK" w:eastAsia="仿宋_GB2312"/>
          <w:b w:val="0"/>
          <w:bCs/>
          <w:color w:val="auto"/>
          <w:u w:val="none" w:color="auto"/>
          <w:lang w:val="en-US" w:eastAsia="zh-CN"/>
        </w:rPr>
      </w:pPr>
      <w:r>
        <w:rPr>
          <w:rFonts w:hint="default" w:ascii="仿宋_GB2312" w:hAnsi="方正仿宋_GBK" w:eastAsia="仿宋_GB2312"/>
          <w:b w:val="0"/>
          <w:bCs/>
          <w:color w:val="auto"/>
          <w:u w:val="none" w:color="auto"/>
          <w:lang w:val="en-US" w:eastAsia="zh-CN"/>
        </w:rPr>
        <w:t>上述事实，主要有以下证据证明：</w:t>
      </w:r>
    </w:p>
    <w:p w14:paraId="0A60E8BD">
      <w:pPr>
        <w:pStyle w:val="3"/>
        <w:tabs>
          <w:tab w:val="left" w:pos="8285"/>
        </w:tabs>
        <w:spacing w:line="520" w:lineRule="exact"/>
        <w:ind w:firstLine="640" w:firstLineChars="200"/>
        <w:rPr>
          <w:rFonts w:hint="default" w:ascii="仿宋_GB2312" w:hAnsi="方正仿宋_GBK" w:eastAsia="仿宋_GB2312"/>
          <w:b w:val="0"/>
          <w:bCs/>
          <w:color w:val="auto"/>
          <w:u w:val="none" w:color="auto"/>
          <w:lang w:val="en-US" w:eastAsia="zh-CN"/>
        </w:rPr>
      </w:pPr>
      <w:r>
        <w:rPr>
          <w:rFonts w:hint="default" w:ascii="仿宋_GB2312" w:hAnsi="方正仿宋_GBK" w:eastAsia="仿宋_GB2312"/>
          <w:b w:val="0"/>
          <w:bCs/>
          <w:color w:val="auto"/>
          <w:u w:val="none" w:color="auto"/>
          <w:lang w:val="en-US" w:eastAsia="zh-CN"/>
        </w:rPr>
        <w:t>1.抽样单，证明现场抽样情况。</w:t>
      </w:r>
    </w:p>
    <w:p w14:paraId="41194BE4">
      <w:pPr>
        <w:pStyle w:val="3"/>
        <w:tabs>
          <w:tab w:val="left" w:pos="8285"/>
        </w:tabs>
        <w:spacing w:line="520" w:lineRule="exact"/>
        <w:ind w:firstLine="640" w:firstLineChars="200"/>
        <w:rPr>
          <w:rFonts w:hint="default" w:ascii="仿宋_GB2312" w:hAnsi="方正仿宋_GBK" w:eastAsia="仿宋_GB2312"/>
          <w:b w:val="0"/>
          <w:bCs/>
          <w:color w:val="auto"/>
          <w:u w:val="none" w:color="auto"/>
          <w:lang w:val="en-US" w:eastAsia="zh-CN"/>
        </w:rPr>
      </w:pPr>
      <w:r>
        <w:rPr>
          <w:rFonts w:hint="default" w:ascii="仿宋_GB2312" w:hAnsi="方正仿宋_GBK" w:eastAsia="仿宋_GB2312"/>
          <w:b w:val="0"/>
          <w:bCs/>
          <w:color w:val="auto"/>
          <w:u w:val="none" w:color="auto"/>
          <w:lang w:val="en-US" w:eastAsia="zh-CN"/>
        </w:rPr>
        <w:t>2.检验报告，证明当事人经营的童鞋检验不合格的事实情况。</w:t>
      </w:r>
    </w:p>
    <w:p w14:paraId="50ABE918">
      <w:pPr>
        <w:pStyle w:val="3"/>
        <w:tabs>
          <w:tab w:val="left" w:pos="8285"/>
        </w:tabs>
        <w:spacing w:line="520" w:lineRule="exact"/>
        <w:ind w:firstLine="640" w:firstLineChars="200"/>
        <w:rPr>
          <w:rFonts w:hint="default" w:ascii="仿宋_GB2312" w:hAnsi="方正仿宋_GBK" w:eastAsia="仿宋_GB2312"/>
          <w:b w:val="0"/>
          <w:bCs/>
          <w:color w:val="auto"/>
          <w:u w:val="none" w:color="auto"/>
          <w:lang w:val="en-US" w:eastAsia="zh-CN"/>
        </w:rPr>
      </w:pPr>
      <w:r>
        <w:rPr>
          <w:rFonts w:hint="default" w:ascii="仿宋_GB2312" w:hAnsi="方正仿宋_GBK" w:eastAsia="仿宋_GB2312"/>
          <w:b w:val="0"/>
          <w:bCs/>
          <w:color w:val="auto"/>
          <w:u w:val="none" w:color="auto"/>
          <w:lang w:val="en-US" w:eastAsia="zh-CN"/>
        </w:rPr>
        <w:t>3.委托送达函及检验结果通知书，证明案件来源情况。</w:t>
      </w:r>
    </w:p>
    <w:p w14:paraId="7ECF86C6">
      <w:pPr>
        <w:pStyle w:val="3"/>
        <w:tabs>
          <w:tab w:val="left" w:pos="8285"/>
        </w:tabs>
        <w:spacing w:line="520" w:lineRule="exact"/>
        <w:ind w:firstLine="640" w:firstLineChars="200"/>
        <w:rPr>
          <w:rFonts w:hint="default" w:ascii="仿宋_GB2312" w:hAnsi="方正仿宋_GBK" w:eastAsia="仿宋_GB2312"/>
          <w:b w:val="0"/>
          <w:bCs/>
          <w:color w:val="auto"/>
          <w:u w:val="none" w:color="auto"/>
          <w:lang w:val="en-US" w:eastAsia="zh-CN"/>
        </w:rPr>
      </w:pPr>
      <w:r>
        <w:rPr>
          <w:rFonts w:hint="default" w:ascii="仿宋_GB2312" w:hAnsi="方正仿宋_GBK" w:eastAsia="仿宋_GB2312"/>
          <w:b w:val="0"/>
          <w:bCs/>
          <w:color w:val="auto"/>
          <w:u w:val="none" w:color="auto"/>
          <w:lang w:val="en-US" w:eastAsia="zh-CN"/>
        </w:rPr>
        <w:t>4.当事人营业执照复印件，证明当事人是能够独立承担法律责任的行政法律关系主体。</w:t>
      </w:r>
    </w:p>
    <w:p w14:paraId="53F2B2CB">
      <w:pPr>
        <w:pStyle w:val="3"/>
        <w:tabs>
          <w:tab w:val="left" w:pos="8285"/>
        </w:tabs>
        <w:spacing w:line="520" w:lineRule="exact"/>
        <w:ind w:firstLine="640" w:firstLineChars="200"/>
        <w:rPr>
          <w:rFonts w:hint="default" w:ascii="仿宋_GB2312" w:hAnsi="方正仿宋_GBK" w:eastAsia="仿宋_GB2312"/>
          <w:b w:val="0"/>
          <w:bCs/>
          <w:color w:val="auto"/>
          <w:u w:val="none" w:color="auto"/>
          <w:lang w:val="en-US" w:eastAsia="zh-CN"/>
        </w:rPr>
      </w:pPr>
      <w:r>
        <w:rPr>
          <w:rFonts w:hint="default" w:ascii="仿宋_GB2312" w:hAnsi="方正仿宋_GBK" w:eastAsia="仿宋_GB2312"/>
          <w:b w:val="0"/>
          <w:bCs/>
          <w:color w:val="auto"/>
          <w:u w:val="none" w:color="auto"/>
          <w:lang w:val="en-US" w:eastAsia="zh-CN"/>
        </w:rPr>
        <w:t>5.经营者身份证复印件，证明被调查人身份信息。</w:t>
      </w:r>
    </w:p>
    <w:p w14:paraId="524CE17A">
      <w:pPr>
        <w:pStyle w:val="3"/>
        <w:tabs>
          <w:tab w:val="left" w:pos="8285"/>
        </w:tabs>
        <w:spacing w:line="520" w:lineRule="exact"/>
        <w:ind w:firstLine="640" w:firstLineChars="200"/>
        <w:rPr>
          <w:rFonts w:hint="default" w:ascii="仿宋_GB2312" w:hAnsi="方正仿宋_GBK" w:eastAsia="仿宋_GB2312"/>
          <w:b w:val="0"/>
          <w:bCs/>
          <w:color w:val="auto"/>
          <w:u w:val="none" w:color="auto"/>
          <w:lang w:val="en-US" w:eastAsia="zh-CN"/>
        </w:rPr>
      </w:pPr>
      <w:r>
        <w:rPr>
          <w:rFonts w:hint="default" w:ascii="仿宋_GB2312" w:hAnsi="方正仿宋_GBK" w:eastAsia="仿宋_GB2312"/>
          <w:b w:val="0"/>
          <w:bCs/>
          <w:color w:val="auto"/>
          <w:u w:val="none" w:color="auto"/>
          <w:lang w:val="en-US" w:eastAsia="zh-CN"/>
        </w:rPr>
        <w:t>6.现场笔录，证明现场检查及处置情况。</w:t>
      </w:r>
    </w:p>
    <w:p w14:paraId="3EF25AC8">
      <w:pPr>
        <w:pStyle w:val="3"/>
        <w:tabs>
          <w:tab w:val="left" w:pos="8285"/>
        </w:tabs>
        <w:spacing w:line="520" w:lineRule="exact"/>
        <w:ind w:firstLine="640" w:firstLineChars="200"/>
        <w:rPr>
          <w:rFonts w:hint="default" w:ascii="仿宋_GB2312" w:hAnsi="方正仿宋_GBK" w:eastAsia="仿宋_GB2312"/>
          <w:b w:val="0"/>
          <w:bCs/>
          <w:color w:val="auto"/>
          <w:u w:val="none" w:color="auto"/>
          <w:lang w:val="en-US" w:eastAsia="zh-CN"/>
        </w:rPr>
      </w:pPr>
      <w:r>
        <w:rPr>
          <w:rFonts w:hint="default" w:ascii="仿宋_GB2312" w:hAnsi="方正仿宋_GBK" w:eastAsia="仿宋_GB2312"/>
          <w:b w:val="0"/>
          <w:bCs/>
          <w:color w:val="auto"/>
          <w:u w:val="none" w:color="auto"/>
          <w:lang w:val="en-US" w:eastAsia="zh-CN"/>
        </w:rPr>
        <w:t>7.询问笔录、销售单据复印件，证明当事人涉嫌经营不合格童鞋的事实情况。</w:t>
      </w:r>
    </w:p>
    <w:p w14:paraId="4AFBEBC6">
      <w:pPr>
        <w:pStyle w:val="3"/>
        <w:tabs>
          <w:tab w:val="left" w:pos="8285"/>
        </w:tabs>
        <w:spacing w:line="520" w:lineRule="exact"/>
        <w:ind w:firstLine="640" w:firstLineChars="200"/>
        <w:rPr>
          <w:rFonts w:hint="default"/>
          <w:b w:val="0"/>
          <w:bCs/>
          <w:color w:val="auto"/>
          <w:u w:val="none" w:color="auto"/>
          <w:lang w:val="en-US"/>
        </w:rPr>
      </w:pPr>
      <w:r>
        <w:rPr>
          <w:rFonts w:hint="default" w:ascii="仿宋_GB2312" w:hAnsi="方正仿宋_GBK" w:eastAsia="仿宋_GB2312"/>
          <w:b w:val="0"/>
          <w:bCs/>
          <w:color w:val="auto"/>
          <w:u w:val="none" w:color="auto"/>
          <w:lang w:val="en-US" w:eastAsia="zh-CN"/>
        </w:rPr>
        <w:t>8.供货商营业执照复印件、进货单据复印件，证明不合格童鞋进货来源情况。</w:t>
      </w:r>
      <w:r>
        <w:rPr>
          <w:rFonts w:hint="eastAsia" w:ascii="Times New Roman" w:eastAsia="仿宋_GB2312" w:cs="仿宋_GB2312"/>
          <w:b w:val="0"/>
          <w:bCs/>
          <w:color w:val="auto"/>
          <w:u w:val="none" w:color="auto"/>
        </w:rPr>
        <w:t xml:space="preserve"> </w:t>
      </w:r>
      <w:r>
        <w:rPr>
          <w:rFonts w:hint="eastAsia" w:ascii="Times New Roman" w:eastAsia="仿宋_GB2312" w:cs="仿宋_GB2312"/>
          <w:b w:val="0"/>
          <w:bCs/>
          <w:color w:val="auto"/>
          <w:u w:val="none" w:color="auto"/>
          <w:lang w:val="en-US" w:eastAsia="zh-CN"/>
        </w:rPr>
        <w:t xml:space="preserve">                                        </w:t>
      </w:r>
    </w:p>
    <w:p w14:paraId="67CED040">
      <w:pPr>
        <w:pStyle w:val="3"/>
        <w:tabs>
          <w:tab w:val="left" w:pos="9060"/>
        </w:tabs>
        <w:spacing w:line="520" w:lineRule="exact"/>
        <w:ind w:firstLine="640" w:firstLineChars="200"/>
        <w:rPr>
          <w:rFonts w:hint="default" w:ascii="Times New Roman" w:eastAsia="仿宋_GB2312" w:cs="仿宋_GB2312"/>
          <w:b w:val="0"/>
          <w:bCs/>
          <w:color w:val="auto"/>
          <w:u w:val="none" w:color="auto"/>
          <w:lang w:val="en-US" w:eastAsia="zh-CN"/>
        </w:rPr>
      </w:pPr>
      <w:r>
        <w:rPr>
          <w:rFonts w:hint="eastAsia" w:ascii="Times New Roman" w:hAnsi="Times New Roman" w:eastAsia="仿宋_GB2312" w:cs="仿宋_GB2312"/>
          <w:b w:val="0"/>
          <w:bCs/>
          <w:color w:val="auto"/>
          <w:u w:val="none" w:color="auto"/>
          <w:lang w:val="en-US" w:eastAsia="zh-CN"/>
        </w:rPr>
        <w:t>2025年10月22日，本局向当事人下达《行政处罚告知书》(薛市监罚告〔2025〕127号)，告知当事人拟作出行政处罚的事实、理由、依据和处罚内容，告知当事人依法享有陈述、申辩的权利。在规定时间内当事人没有提出陈述、申辩意见，视为放弃该权利。</w:t>
      </w:r>
      <w:r>
        <w:rPr>
          <w:rFonts w:hint="eastAsia" w:ascii="Times New Roman" w:eastAsia="仿宋_GB2312" w:cs="仿宋_GB2312"/>
          <w:b w:val="0"/>
          <w:bCs/>
          <w:color w:val="auto"/>
          <w:u w:val="none" w:color="auto"/>
        </w:rPr>
        <w:t xml:space="preserve">                       </w:t>
      </w:r>
      <w:r>
        <w:rPr>
          <w:rFonts w:hint="eastAsia" w:ascii="Times New Roman" w:eastAsia="仿宋_GB2312" w:cs="仿宋_GB2312"/>
          <w:b w:val="0"/>
          <w:bCs/>
          <w:color w:val="auto"/>
          <w:u w:val="none" w:color="auto"/>
          <w:lang w:val="en-US" w:eastAsia="zh-CN"/>
        </w:rPr>
        <w:t xml:space="preserve">                                         </w:t>
      </w:r>
    </w:p>
    <w:p w14:paraId="71B7B125">
      <w:pPr>
        <w:pStyle w:val="3"/>
        <w:tabs>
          <w:tab w:val="left" w:pos="8405"/>
        </w:tabs>
        <w:spacing w:line="240" w:lineRule="auto"/>
        <w:ind w:firstLine="640" w:firstLineChars="200"/>
        <w:rPr>
          <w:rFonts w:ascii="Times New Roman" w:eastAsia="仿宋_GB2312" w:cs="仿宋_GB2312"/>
          <w:b w:val="0"/>
          <w:bCs/>
          <w:color w:val="auto"/>
          <w:u w:val="none" w:color="auto"/>
        </w:rPr>
      </w:pPr>
      <w:r>
        <w:rPr>
          <w:rFonts w:hint="eastAsia" w:ascii="仿宋_GB2312" w:hAnsi="方正仿宋_GBK" w:eastAsia="仿宋_GB2312"/>
          <w:b w:val="0"/>
          <w:bCs/>
          <w:color w:val="auto"/>
          <w:u w:val="none" w:color="auto"/>
          <w:lang w:val="en-US" w:eastAsia="zh-CN"/>
        </w:rPr>
        <w:t xml:space="preserve">当事人经营不符合国家标准童鞋的行为，违反了《中华人民共和国产品质量法（2018修正）》第十三条第二款“禁止生产、销售不符合保障人体健康和人身、财产安全的标准和要求的工业产品。具体管理办法由国务院规定”的规定。                           </w:t>
      </w:r>
      <w:r>
        <w:rPr>
          <w:rFonts w:hint="default" w:ascii="仿宋_GB2312" w:hAnsi="方正仿宋_GBK" w:eastAsia="仿宋_GB2312"/>
          <w:b w:val="0"/>
          <w:bCs/>
          <w:color w:val="auto"/>
          <w:u w:val="none" w:color="auto"/>
          <w:lang w:eastAsia="zh-CN"/>
        </w:rPr>
        <w:t xml:space="preserve">        </w:t>
      </w:r>
    </w:p>
    <w:p w14:paraId="2ACC5C2E">
      <w:pPr>
        <w:pStyle w:val="3"/>
        <w:spacing w:line="520" w:lineRule="exact"/>
        <w:ind w:firstLine="627" w:firstLineChars="196"/>
        <w:rPr>
          <w:rFonts w:ascii="楷体_GB2312" w:eastAsia="楷体_GB2312" w:cs="仿宋_GB2312"/>
          <w:b w:val="0"/>
          <w:bCs/>
          <w:color w:val="auto"/>
          <w:u w:val="none" w:color="auto"/>
        </w:rPr>
      </w:pPr>
      <w:r>
        <w:rPr>
          <w:rFonts w:hint="eastAsia" w:ascii="仿宋_GB2312" w:hAnsi="方正仿宋_GBK" w:eastAsia="仿宋_GB2312" w:cs="Times New Roman"/>
          <w:b w:val="0"/>
          <w:bCs/>
          <w:color w:val="auto"/>
          <w:u w:val="none" w:color="auto"/>
          <w:lang w:val="en-US" w:eastAsia="zh-CN"/>
        </w:rPr>
        <w:t xml:space="preserve">鉴于涉案产品系当事人从别处购进，且当事人能够如实说明进货来源，积极配合调查，如实陈述违法事实并提供相关证据资料，符合《市场监管总局关于规范市场监督管理行政处罚裁量权的指导意见》第十四条第二项“第十四条  有下列情形之一的，可以依法从轻或者减轻行政处罚：（二）积极配合市场监管部门调查并主动提供证据材料的”考量因素，参照《山东省市场监督管理行政处罚裁量基准》“八、产品质量监督管理 一、生产销售不符合保障人体健康和人身、财产安全的国家标准、行业标准的产品（二）裁量标准1.没收违法产品或者以假充真的产品的原辅材料、包装物、生产工具，罚款，没收违法所得【较轻】货值金额一万元以下的，或者产品尚未销售的或已销售，追回全部的，没收违法生产、销售的产品或者以假充真的产品的原辅材料、包装物、生产工具，并处货值金额等值以上1.5倍以下的罚款；有违法所得的，并处没收违法所得”的规定，决定对当事人按照较轻标准处罚。          </w:t>
      </w:r>
      <w:r>
        <w:rPr>
          <w:rFonts w:hint="eastAsia" w:ascii="楷体_GB2312" w:eastAsia="楷体_GB2312" w:cs="仿宋_GB2312"/>
          <w:b w:val="0"/>
          <w:bCs/>
          <w:color w:val="auto"/>
          <w:u w:val="none" w:color="auto"/>
          <w:lang w:val="en-US" w:eastAsia="zh-CN"/>
        </w:rPr>
        <w:t xml:space="preserve">              </w:t>
      </w:r>
      <w:r>
        <w:rPr>
          <w:rFonts w:hint="default" w:ascii="楷体_GB2312" w:eastAsia="楷体_GB2312" w:cs="仿宋_GB2312"/>
          <w:b w:val="0"/>
          <w:bCs/>
          <w:color w:val="auto"/>
          <w:u w:val="none" w:color="auto"/>
          <w:lang w:eastAsia="zh-CN"/>
        </w:rPr>
        <w:t xml:space="preserve">           </w:t>
      </w:r>
      <w:r>
        <w:rPr>
          <w:rFonts w:hint="eastAsia" w:ascii="楷体_GB2312" w:eastAsia="楷体_GB2312" w:cs="仿宋_GB2312"/>
          <w:b w:val="0"/>
          <w:bCs/>
          <w:color w:val="auto"/>
          <w:u w:val="none" w:color="auto"/>
          <w:lang w:val="en-US" w:eastAsia="zh-CN"/>
        </w:rPr>
        <w:t xml:space="preserve">                   </w:t>
      </w:r>
      <w:r>
        <w:rPr>
          <w:rFonts w:hint="eastAsia" w:ascii="楷体_GB2312" w:eastAsia="楷体_GB2312" w:cs="仿宋_GB2312"/>
          <w:b w:val="0"/>
          <w:bCs/>
          <w:color w:val="auto"/>
          <w:u w:val="none" w:color="auto"/>
        </w:rPr>
        <w:t xml:space="preserve">                   </w:t>
      </w:r>
    </w:p>
    <w:p w14:paraId="0718F77F">
      <w:pPr>
        <w:pStyle w:val="3"/>
        <w:tabs>
          <w:tab w:val="left" w:pos="9060"/>
        </w:tabs>
        <w:spacing w:line="520" w:lineRule="exact"/>
        <w:ind w:firstLine="640" w:firstLineChars="200"/>
        <w:rPr>
          <w:rFonts w:hint="eastAsia" w:ascii="Times New Roman" w:eastAsia="仿宋_GB2312" w:cs="仿宋_GB2312"/>
          <w:b w:val="0"/>
          <w:bCs/>
          <w:color w:val="auto"/>
          <w:u w:val="none" w:color="auto"/>
        </w:rPr>
      </w:pPr>
      <w:r>
        <w:rPr>
          <w:rFonts w:hint="eastAsia" w:ascii="Times New Roman" w:eastAsia="仿宋_GB2312" w:cs="仿宋_GB2312"/>
          <w:b w:val="0"/>
          <w:bCs/>
          <w:color w:val="auto"/>
          <w:u w:val="none" w:color="auto"/>
        </w:rPr>
        <w:t>依据《中华人民共和国产品质量法（2018修正）》第四十九条“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的规定，</w:t>
      </w:r>
      <w:r>
        <w:rPr>
          <w:rFonts w:hint="eastAsia" w:ascii="Times New Roman" w:eastAsia="仿宋_GB2312" w:cs="仿宋_GB2312"/>
          <w:b w:val="0"/>
          <w:bCs/>
          <w:color w:val="auto"/>
          <w:u w:val="none" w:color="auto"/>
          <w:lang w:val="en-US" w:eastAsia="zh-CN"/>
        </w:rPr>
        <w:t>本局决定</w:t>
      </w:r>
      <w:r>
        <w:rPr>
          <w:rFonts w:hint="eastAsia" w:ascii="Times New Roman" w:eastAsia="仿宋_GB2312" w:cs="仿宋_GB2312"/>
          <w:b w:val="0"/>
          <w:bCs/>
          <w:color w:val="auto"/>
          <w:u w:val="none" w:color="auto"/>
        </w:rPr>
        <w:t>对当事人作出处罚如下：</w:t>
      </w:r>
    </w:p>
    <w:p w14:paraId="6AA904DC">
      <w:pPr>
        <w:pStyle w:val="3"/>
        <w:numPr>
          <w:ilvl w:val="0"/>
          <w:numId w:val="0"/>
        </w:numPr>
        <w:tabs>
          <w:tab w:val="left" w:pos="9060"/>
        </w:tabs>
        <w:spacing w:line="520" w:lineRule="exact"/>
        <w:ind w:firstLine="640" w:firstLineChars="200"/>
        <w:rPr>
          <w:rFonts w:hint="eastAsia" w:ascii="Times New Roman" w:eastAsia="仿宋_GB2312" w:cs="仿宋_GB2312"/>
          <w:b w:val="0"/>
          <w:bCs/>
          <w:color w:val="auto"/>
          <w:u w:val="none" w:color="auto"/>
        </w:rPr>
      </w:pPr>
      <w:r>
        <w:rPr>
          <w:rFonts w:hint="eastAsia" w:ascii="Times New Roman" w:eastAsia="仿宋_GB2312" w:cs="仿宋_GB2312"/>
          <w:b w:val="0"/>
          <w:bCs/>
          <w:color w:val="auto"/>
          <w:u w:val="none" w:color="auto"/>
          <w:lang w:val="en-US" w:eastAsia="zh-CN"/>
        </w:rPr>
        <w:t>1.</w:t>
      </w:r>
      <w:r>
        <w:rPr>
          <w:rFonts w:hint="eastAsia" w:ascii="Times New Roman" w:eastAsia="仿宋_GB2312" w:cs="仿宋_GB2312"/>
          <w:b w:val="0"/>
          <w:bCs/>
          <w:color w:val="auto"/>
          <w:u w:val="none" w:color="auto"/>
        </w:rPr>
        <w:t>没收不符合国家标准童鞋2双；</w:t>
      </w:r>
    </w:p>
    <w:p w14:paraId="0F0501AE">
      <w:pPr>
        <w:pStyle w:val="3"/>
        <w:numPr>
          <w:ilvl w:val="0"/>
          <w:numId w:val="0"/>
        </w:numPr>
        <w:tabs>
          <w:tab w:val="left" w:pos="9060"/>
        </w:tabs>
        <w:spacing w:line="520" w:lineRule="exact"/>
        <w:ind w:firstLine="640" w:firstLineChars="200"/>
        <w:rPr>
          <w:rFonts w:hint="eastAsia" w:ascii="Times New Roman" w:eastAsia="仿宋_GB2312" w:cs="仿宋_GB2312"/>
          <w:b w:val="0"/>
          <w:bCs/>
          <w:color w:val="auto"/>
          <w:u w:val="none" w:color="auto"/>
        </w:rPr>
      </w:pPr>
      <w:r>
        <w:rPr>
          <w:rFonts w:hint="eastAsia" w:ascii="Times New Roman" w:eastAsia="仿宋_GB2312" w:cs="仿宋_GB2312"/>
          <w:b w:val="0"/>
          <w:bCs/>
          <w:color w:val="auto"/>
          <w:u w:val="none" w:color="auto"/>
        </w:rPr>
        <w:t>2.没收违法所得叁拾元（30.00元）；</w:t>
      </w:r>
    </w:p>
    <w:p w14:paraId="2A1E2045">
      <w:pPr>
        <w:pStyle w:val="3"/>
        <w:numPr>
          <w:ilvl w:val="0"/>
          <w:numId w:val="0"/>
        </w:numPr>
        <w:tabs>
          <w:tab w:val="left" w:pos="9060"/>
        </w:tabs>
        <w:spacing w:line="520" w:lineRule="exact"/>
        <w:ind w:firstLine="640" w:firstLineChars="200"/>
        <w:rPr>
          <w:rFonts w:hint="eastAsia" w:ascii="Times New Roman" w:eastAsia="仿宋_GB2312" w:cs="仿宋_GB2312"/>
          <w:b w:val="0"/>
          <w:bCs/>
          <w:color w:val="auto"/>
          <w:u w:val="none" w:color="auto"/>
        </w:rPr>
      </w:pPr>
      <w:r>
        <w:rPr>
          <w:rFonts w:hint="eastAsia" w:ascii="Times New Roman" w:eastAsia="仿宋_GB2312" w:cs="仿宋_GB2312"/>
          <w:b w:val="0"/>
          <w:bCs/>
          <w:color w:val="auto"/>
          <w:u w:val="none" w:color="auto"/>
        </w:rPr>
        <w:t>3.罚款贰佰玖拾元（290.00元）；</w:t>
      </w:r>
    </w:p>
    <w:p w14:paraId="01190DC7">
      <w:pPr>
        <w:pStyle w:val="3"/>
        <w:numPr>
          <w:ilvl w:val="0"/>
          <w:numId w:val="0"/>
        </w:numPr>
        <w:tabs>
          <w:tab w:val="left" w:pos="9060"/>
        </w:tabs>
        <w:spacing w:line="520" w:lineRule="exact"/>
        <w:ind w:firstLine="640" w:firstLineChars="200"/>
        <w:rPr>
          <w:rFonts w:ascii="Times New Roman" w:eastAsia="仿宋_GB2312" w:cs="仿宋_GB2312"/>
          <w:b w:val="0"/>
          <w:bCs/>
          <w:color w:val="auto"/>
          <w:u w:val="none" w:color="auto"/>
        </w:rPr>
      </w:pPr>
      <w:r>
        <w:rPr>
          <w:rFonts w:hint="eastAsia" w:ascii="Times New Roman" w:eastAsia="仿宋_GB2312" w:cs="仿宋_GB2312"/>
          <w:b w:val="0"/>
          <w:bCs/>
          <w:color w:val="auto"/>
          <w:u w:val="none" w:color="auto"/>
        </w:rPr>
        <w:t xml:space="preserve">罚没款共计叁佰贰拾元（320.00元）。                                        </w:t>
      </w:r>
      <w:r>
        <w:rPr>
          <w:rFonts w:hint="eastAsia" w:ascii="Times New Roman" w:eastAsia="仿宋_GB2312" w:cs="仿宋_GB2312"/>
          <w:b w:val="0"/>
          <w:bCs/>
          <w:color w:val="auto"/>
          <w:u w:val="none" w:color="auto"/>
          <w:lang w:val="en-US" w:eastAsia="zh-CN"/>
        </w:rPr>
        <w:t xml:space="preserve">    </w:t>
      </w:r>
    </w:p>
    <w:p w14:paraId="04363958">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default" w:ascii="Times New Roman" w:eastAsia="仿宋_GB2312" w:cs="仿宋_GB2312"/>
          <w:b w:val="0"/>
          <w:bCs/>
          <w:color w:val="auto"/>
          <w:u w:val="none" w:color="auto"/>
          <w:lang w:val="en-US" w:eastAsia="zh-CN"/>
        </w:rPr>
      </w:pPr>
      <w:r>
        <w:rPr>
          <w:rFonts w:hint="default" w:ascii="Times New Roman" w:eastAsia="仿宋_GB2312" w:cs="仿宋_GB2312"/>
          <w:b w:val="0"/>
          <w:bCs/>
          <w:color w:val="auto"/>
          <w:u w:val="none" w:color="auto"/>
          <w:lang w:val="en-US" w:eastAsia="zh-CN"/>
        </w:rPr>
        <w:t>当事人应当自收到本行政处罚决定之日起十五日内，到（工、农、中、建）任一银行网点或者网上银行缴纳罚款。到期不缴纳罚款的，依据《中华人民共和国行政处罚法》第七十二条的规定，本局将每日按罚款数额的百分之三加处罚款，并依法申请人民法院强制执行。                        当事人如不服本行政处罚决定，可自收到本行政处罚决定书之日起六十日内，依法向薛城区人民政府申请复议；也可以自收到本行政处罚决定书之日起六个月内依法向薛城区人民法院等有管辖权的人民法院提起行政诉讼。诉讼、复议期间，本行政处罚不停止执行。(网上提交行政复议申请网址:http://124.128.58.185:9082/entrance?redirect=%2Findex)。</w:t>
      </w:r>
    </w:p>
    <w:p w14:paraId="15603347">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default" w:ascii="Times New Roman" w:eastAsia="仿宋_GB2312" w:cs="仿宋_GB2312"/>
          <w:b w:val="0"/>
          <w:bCs/>
          <w:color w:val="auto"/>
          <w:u w:val="none" w:color="auto"/>
          <w:lang w:val="en-US" w:eastAsia="zh-CN"/>
        </w:rPr>
      </w:pPr>
    </w:p>
    <w:p w14:paraId="4ADD5EFA">
      <w:pPr>
        <w:widowControl/>
        <w:snapToGrid w:val="0"/>
        <w:spacing w:line="520" w:lineRule="exact"/>
        <w:jc w:val="left"/>
        <w:rPr>
          <w:rFonts w:ascii="Times New Roman" w:hAnsi="Times New Roman" w:eastAsia="仿宋_GB2312" w:cs="仿宋_GB2312"/>
          <w:color w:val="auto"/>
          <w:sz w:val="32"/>
          <w:szCs w:val="32"/>
          <w:u w:val="none" w:color="auto"/>
        </w:rPr>
      </w:pPr>
    </w:p>
    <w:p w14:paraId="3ECD532B">
      <w:pPr>
        <w:widowControl/>
        <w:snapToGrid w:val="0"/>
        <w:spacing w:line="520" w:lineRule="exact"/>
        <w:ind w:firstLine="6240" w:firstLineChars="1950"/>
        <w:jc w:val="left"/>
        <w:rPr>
          <w:rFonts w:hint="eastAsia" w:ascii="Times New Roman" w:hAnsi="Times New Roman" w:eastAsia="仿宋_GB2312" w:cs="仿宋_GB2312"/>
          <w:color w:val="auto"/>
          <w:sz w:val="32"/>
          <w:szCs w:val="32"/>
          <w:u w:val="none" w:color="auto"/>
          <w:lang w:val="en-US" w:eastAsia="zh-Hans"/>
        </w:rPr>
      </w:pPr>
    </w:p>
    <w:p w14:paraId="5E9C6ACD">
      <w:pPr>
        <w:spacing w:line="560" w:lineRule="exact"/>
        <w:ind w:right="640" w:firstLine="601"/>
        <w:jc w:val="right"/>
        <w:rPr>
          <w:rFonts w:ascii="Times New Roman" w:hAnsi="Times New Roman" w:eastAsia="仿宋_GB2312" w:cs="仿宋"/>
          <w:color w:val="auto"/>
          <w:sz w:val="32"/>
          <w:szCs w:val="32"/>
          <w:u w:val="none" w:color="auto"/>
        </w:rPr>
      </w:pPr>
      <w:bookmarkStart w:id="7" w:name="DYNAMIC—DWXX—tAj_dwmc—2"/>
      <w:r>
        <w:rPr>
          <w:rFonts w:hint="eastAsia" w:ascii="Times New Roman" w:hAnsi="Times New Roman" w:eastAsia="仿宋_GB2312" w:cs="仿宋"/>
          <w:color w:val="auto"/>
          <w:sz w:val="32"/>
          <w:u w:val="none" w:color="auto"/>
        </w:rPr>
        <w:t>薛城区市场监督管理局</w:t>
      </w:r>
      <w:bookmarkEnd w:id="7"/>
      <w:r>
        <w:rPr>
          <w:rFonts w:hint="eastAsia" w:ascii="Times New Roman" w:hAnsi="Times New Roman" w:eastAsia="仿宋_GB2312" w:cs="仿宋"/>
          <w:color w:val="auto"/>
          <w:sz w:val="32"/>
          <w:szCs w:val="32"/>
          <w:u w:val="none" w:color="auto"/>
        </w:rPr>
        <w:t xml:space="preserve">    </w:t>
      </w:r>
    </w:p>
    <w:p w14:paraId="7D990C3A">
      <w:pPr>
        <w:spacing w:line="560" w:lineRule="exact"/>
        <w:ind w:right="640" w:firstLine="601"/>
        <w:jc w:val="right"/>
        <w:outlineLvl w:val="1"/>
        <w:rPr>
          <w:rFonts w:ascii="Times New Roman" w:hAnsi="Times New Roman" w:eastAsia="仿宋_GB2312" w:cs="仿宋"/>
          <w:color w:val="auto"/>
          <w:sz w:val="32"/>
          <w:szCs w:val="32"/>
          <w:u w:val="none" w:color="auto"/>
        </w:rPr>
      </w:pPr>
    </w:p>
    <w:p w14:paraId="2E42CEF0">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right"/>
        <w:textAlignment w:val="auto"/>
        <w:outlineLvl w:val="9"/>
        <w:rPr>
          <w:rFonts w:ascii="Times New Roman" w:hAnsi="Times New Roman" w:eastAsia="仿宋_GB2312" w:cs="仿宋_GB2312"/>
          <w:color w:val="auto"/>
          <w:sz w:val="32"/>
          <w:szCs w:val="32"/>
          <w:u w:val="none" w:color="auto"/>
        </w:rPr>
      </w:pPr>
      <w:bookmarkStart w:id="8" w:name="CALCULATE—TIME—NOW"/>
      <w:r>
        <w:rPr>
          <w:rFonts w:hint="eastAsia" w:ascii="仿宋_GB2312" w:hAnsi="Times New Roman" w:eastAsia="仿宋_GB2312" w:cs="仿宋"/>
          <w:color w:val="auto"/>
          <w:sz w:val="32"/>
          <w:u w:val="none" w:color="auto"/>
        </w:rPr>
        <w:t>2025年10月31日</w:t>
      </w:r>
      <w:bookmarkEnd w:id="8"/>
      <w:r>
        <w:rPr>
          <w:rFonts w:hint="eastAsia" w:ascii="Times New Roman" w:hAnsi="Times New Roman" w:eastAsia="仿宋_GB2312" w:cs="仿宋_GB2312"/>
          <w:color w:val="auto"/>
          <w:sz w:val="32"/>
          <w:szCs w:val="32"/>
          <w:u w:val="none" w:color="auto"/>
        </w:rPr>
        <w:t xml:space="preserve">  </w:t>
      </w:r>
    </w:p>
    <w:p w14:paraId="5E7CB91F">
      <w:pPr>
        <w:widowControl/>
        <w:snapToGrid w:val="0"/>
        <w:spacing w:line="520" w:lineRule="exact"/>
        <w:jc w:val="right"/>
        <w:rPr>
          <w:rFonts w:ascii="Times New Roman" w:hAnsi="Times New Roman" w:eastAsia="仿宋_GB2312" w:cs="Mongolian Baiti"/>
          <w:color w:val="auto"/>
          <w:sz w:val="32"/>
          <w:szCs w:val="32"/>
          <w:u w:val="none" w:color="auto"/>
        </w:rPr>
      </w:pPr>
    </w:p>
    <w:p w14:paraId="63FC4A49">
      <w:pPr>
        <w:widowControl/>
        <w:snapToGrid w:val="0"/>
        <w:spacing w:line="520" w:lineRule="exact"/>
        <w:jc w:val="right"/>
        <w:rPr>
          <w:rFonts w:ascii="Times New Roman" w:hAnsi="Times New Roman" w:eastAsia="仿宋_GB2312" w:cs="Mongolian Baiti"/>
          <w:color w:val="auto"/>
          <w:sz w:val="32"/>
          <w:szCs w:val="32"/>
          <w:u w:val="none" w:color="auto"/>
        </w:rPr>
      </w:pPr>
    </w:p>
    <w:p w14:paraId="49F74F88">
      <w:pPr>
        <w:widowControl/>
        <w:snapToGrid w:val="0"/>
        <w:spacing w:line="520" w:lineRule="exact"/>
        <w:jc w:val="right"/>
        <w:rPr>
          <w:rFonts w:ascii="Times New Roman" w:hAnsi="Times New Roman" w:eastAsia="仿宋_GB2312" w:cs="Mongolian Baiti"/>
          <w:color w:val="auto"/>
          <w:sz w:val="32"/>
          <w:szCs w:val="32"/>
          <w:u w:val="none" w:color="auto"/>
        </w:rPr>
      </w:pPr>
    </w:p>
    <w:p w14:paraId="2375681E">
      <w:pPr>
        <w:widowControl/>
        <w:snapToGrid w:val="0"/>
        <w:spacing w:line="520" w:lineRule="exact"/>
        <w:jc w:val="right"/>
        <w:rPr>
          <w:rFonts w:ascii="Times New Roman" w:hAnsi="Times New Roman" w:eastAsia="仿宋_GB2312" w:cs="Mongolian Baiti"/>
          <w:color w:val="auto"/>
          <w:sz w:val="32"/>
          <w:szCs w:val="32"/>
          <w:u w:val="none" w:color="auto"/>
        </w:rPr>
      </w:pPr>
    </w:p>
    <w:p w14:paraId="75A2D94D">
      <w:pPr>
        <w:pStyle w:val="3"/>
        <w:spacing w:before="1"/>
        <w:ind w:left="163"/>
        <w:rPr>
          <w:rFonts w:ascii="Times New Roman" w:hAnsi="Times New Roman" w:eastAsia="仿宋_GB2312" w:cs="仿宋"/>
          <w:bCs/>
          <w:color w:val="auto"/>
          <w:sz w:val="44"/>
          <w:szCs w:val="44"/>
          <w:u w:val="none" w:color="auto"/>
        </w:rPr>
      </w:pPr>
      <w:r>
        <w:rPr>
          <w:rFonts w:ascii="Times New Roman" w:hAnsi="Times New Roman" w:eastAsia="仿宋_GB2312"/>
          <w:color w:val="auto"/>
          <w:sz w:val="32"/>
          <w:u w:val="none" w:color="auto"/>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auto"/>
          <w:spacing w:val="-16"/>
          <w:u w:val="none" w:color="auto"/>
        </w:rPr>
        <w:t>（市场监督管理部门将依法向社会公开行政处罚决定信息）</w:t>
      </w:r>
    </w:p>
    <w:p w14:paraId="505F263A">
      <w:pPr>
        <w:spacing w:line="500" w:lineRule="exact"/>
        <w:rPr>
          <w:color w:val="auto"/>
          <w:u w:val="none" w:color="auto"/>
        </w:rPr>
      </w:pPr>
      <w:r>
        <w:rPr>
          <w:rFonts w:ascii="Times New Roman" w:hAnsi="Times New Roman" w:eastAsia="仿宋_GB2312" w:cs="仿宋"/>
          <w:bCs/>
          <w:color w:val="auto"/>
          <w:sz w:val="32"/>
          <w:szCs w:val="32"/>
          <w:u w:val="none" w:color="auto"/>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auto"/>
          <w:sz w:val="32"/>
          <w:szCs w:val="32"/>
          <w:u w:val="none" w:color="auto"/>
        </w:rPr>
        <w:t>本文书一式</w:t>
      </w:r>
      <w:r>
        <w:rPr>
          <w:rFonts w:hint="eastAsia" w:ascii="Times New Roman" w:hAnsi="Times New Roman" w:eastAsia="仿宋_GB2312" w:cs="仿宋"/>
          <w:color w:val="auto"/>
          <w:sz w:val="32"/>
          <w:szCs w:val="32"/>
          <w:u w:val="none" w:color="auto"/>
          <w:lang w:val="en-US" w:eastAsia="zh-CN"/>
        </w:rPr>
        <w:t>二</w:t>
      </w:r>
      <w:r>
        <w:rPr>
          <w:rFonts w:hint="eastAsia" w:ascii="Times New Roman" w:hAnsi="Times New Roman" w:eastAsia="仿宋_GB2312" w:cs="仿宋"/>
          <w:color w:val="auto"/>
          <w:sz w:val="32"/>
          <w:szCs w:val="32"/>
          <w:u w:val="none" w:color="auto"/>
        </w:rPr>
        <w:t>份，</w:t>
      </w:r>
      <w:r>
        <w:rPr>
          <w:rFonts w:hint="eastAsia" w:ascii="Times New Roman" w:hAnsi="Times New Roman" w:eastAsia="仿宋_GB2312" w:cs="仿宋"/>
          <w:color w:val="auto"/>
          <w:sz w:val="32"/>
          <w:szCs w:val="32"/>
          <w:u w:val="none" w:color="auto"/>
          <w:lang w:val="en-US" w:eastAsia="zh-CN"/>
        </w:rPr>
        <w:t>一</w:t>
      </w:r>
      <w:r>
        <w:rPr>
          <w:rFonts w:hint="eastAsia" w:ascii="Times New Roman" w:hAnsi="Times New Roman" w:eastAsia="仿宋_GB2312" w:cs="仿宋"/>
          <w:color w:val="auto"/>
          <w:sz w:val="32"/>
          <w:szCs w:val="32"/>
          <w:u w:val="none" w:color="auto"/>
        </w:rPr>
        <w:t>份送达，一份归档。</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88"/>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angal">
    <w:altName w:val="C059"/>
    <w:panose1 w:val="00000400000000000000"/>
    <w:charset w:val="00"/>
    <w:family w:val="roman"/>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Arial Unicode MS">
    <w:altName w:val="DejaVu Sans"/>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Mongolian Baiti">
    <w:altName w:val="C059"/>
    <w:panose1 w:val="03000500000000000000"/>
    <w:charset w:val="00"/>
    <w:family w:val="script"/>
    <w:pitch w:val="default"/>
    <w:sig w:usb0="00000000" w:usb1="00000000" w:usb2="0002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E6DD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28D925">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28D925">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wMjM0NTNjNGJkMDk1MzQzN2U2NjQ5OGI4NTBhYTgifQ=="/>
    <w:docVar w:name="KSO_WPS_MARK_KEY" w:val="ad3abea3-8ba7-47a2-bc3f-332894d4261f"/>
  </w:docVars>
  <w:rsids>
    <w:rsidRoot w:val="5BA419F7"/>
    <w:rsid w:val="00193C35"/>
    <w:rsid w:val="0032134F"/>
    <w:rsid w:val="00D05358"/>
    <w:rsid w:val="02B83402"/>
    <w:rsid w:val="04CD463F"/>
    <w:rsid w:val="04FA4431"/>
    <w:rsid w:val="06BAE61F"/>
    <w:rsid w:val="071C7669"/>
    <w:rsid w:val="0776795A"/>
    <w:rsid w:val="08365B64"/>
    <w:rsid w:val="0B22091D"/>
    <w:rsid w:val="0CF71776"/>
    <w:rsid w:val="103E22C5"/>
    <w:rsid w:val="1350279A"/>
    <w:rsid w:val="14203063"/>
    <w:rsid w:val="143E1E38"/>
    <w:rsid w:val="152E563E"/>
    <w:rsid w:val="15B93156"/>
    <w:rsid w:val="18325353"/>
    <w:rsid w:val="18B229B2"/>
    <w:rsid w:val="19FE4517"/>
    <w:rsid w:val="1AE345F4"/>
    <w:rsid w:val="1DA4420A"/>
    <w:rsid w:val="1F2B5D07"/>
    <w:rsid w:val="1FD31F15"/>
    <w:rsid w:val="236534A4"/>
    <w:rsid w:val="244E1F2B"/>
    <w:rsid w:val="24626694"/>
    <w:rsid w:val="258D6CE0"/>
    <w:rsid w:val="2B1B3EFC"/>
    <w:rsid w:val="2CEA3815"/>
    <w:rsid w:val="2DE10173"/>
    <w:rsid w:val="2F327E79"/>
    <w:rsid w:val="2F7CE1EF"/>
    <w:rsid w:val="30DB5683"/>
    <w:rsid w:val="342602B0"/>
    <w:rsid w:val="3585615B"/>
    <w:rsid w:val="360E0532"/>
    <w:rsid w:val="368E5656"/>
    <w:rsid w:val="377FBB27"/>
    <w:rsid w:val="37F16547"/>
    <w:rsid w:val="38B63DA7"/>
    <w:rsid w:val="3930619F"/>
    <w:rsid w:val="3A4E178D"/>
    <w:rsid w:val="3BF97ECA"/>
    <w:rsid w:val="3C2965F0"/>
    <w:rsid w:val="3F2604DF"/>
    <w:rsid w:val="3F6783E4"/>
    <w:rsid w:val="3FFF82D4"/>
    <w:rsid w:val="402E7C06"/>
    <w:rsid w:val="40FE5F8F"/>
    <w:rsid w:val="425049CE"/>
    <w:rsid w:val="4659781C"/>
    <w:rsid w:val="48C10000"/>
    <w:rsid w:val="4A256B30"/>
    <w:rsid w:val="4B8F0B22"/>
    <w:rsid w:val="4C02380F"/>
    <w:rsid w:val="4CC8271B"/>
    <w:rsid w:val="4D9306AE"/>
    <w:rsid w:val="4E8950D9"/>
    <w:rsid w:val="4F0457DF"/>
    <w:rsid w:val="4F5ADA68"/>
    <w:rsid w:val="547C0750"/>
    <w:rsid w:val="57503162"/>
    <w:rsid w:val="591F0542"/>
    <w:rsid w:val="5BA419F7"/>
    <w:rsid w:val="5BF91583"/>
    <w:rsid w:val="5BFB2E57"/>
    <w:rsid w:val="5DD7483B"/>
    <w:rsid w:val="5E5FAB03"/>
    <w:rsid w:val="5F9FEDD5"/>
    <w:rsid w:val="5FBEF003"/>
    <w:rsid w:val="5FE33914"/>
    <w:rsid w:val="5FFA4D85"/>
    <w:rsid w:val="602422E6"/>
    <w:rsid w:val="60B635F2"/>
    <w:rsid w:val="612E7E8C"/>
    <w:rsid w:val="64E43803"/>
    <w:rsid w:val="66733921"/>
    <w:rsid w:val="69690BB2"/>
    <w:rsid w:val="6AD7030F"/>
    <w:rsid w:val="6BCC1BB9"/>
    <w:rsid w:val="6D923254"/>
    <w:rsid w:val="6E04767D"/>
    <w:rsid w:val="6E6950E9"/>
    <w:rsid w:val="6F732ABB"/>
    <w:rsid w:val="6FF58B64"/>
    <w:rsid w:val="6FF8F863"/>
    <w:rsid w:val="70CF02CA"/>
    <w:rsid w:val="71013020"/>
    <w:rsid w:val="710D7C3E"/>
    <w:rsid w:val="7376089F"/>
    <w:rsid w:val="743E5A18"/>
    <w:rsid w:val="75B2DA43"/>
    <w:rsid w:val="75BD90DB"/>
    <w:rsid w:val="77DF8BD4"/>
    <w:rsid w:val="77EFD5CC"/>
    <w:rsid w:val="77FFADAC"/>
    <w:rsid w:val="7B0F6E9A"/>
    <w:rsid w:val="7BFD6076"/>
    <w:rsid w:val="7C8E43D6"/>
    <w:rsid w:val="7D355AFD"/>
    <w:rsid w:val="7DA813EB"/>
    <w:rsid w:val="7DFF108F"/>
    <w:rsid w:val="7EED8AE6"/>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1901</Words>
  <Characters>2092</Characters>
  <Lines>0</Lines>
  <Paragraphs>0</Paragraphs>
  <TotalTime>4</TotalTime>
  <ScaleCrop>false</ScaleCrop>
  <LinksUpToDate>false</LinksUpToDate>
  <CharactersWithSpaces>2666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2021-08-02T18:04:00Z</dcterms:created>
  <dc:creator>胖林宝宝噜啦噜～</dc:creator>
  <cp:lastModifiedBy>01sj</cp:lastModifiedBy>
  <dcterms:modified xsi:type="dcterms:W3CDTF">2025-10-31T10:30:07Z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41922F073BF04552AE38FB6E3E25B111_13</vt:lpwstr>
  </property>
</Properties>
</file>