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eastAsia" w:ascii="方正小标宋简体" w:hAnsi="方正小标宋简体" w:eastAsia="方正小标宋简体" w:cs="方正小标宋简体"/>
          <w:color w:val="000000"/>
          <w:sz w:val="44"/>
          <w:u w:val="none"/>
          <w:lang w:eastAsia="zh-CN"/>
        </w:rPr>
        <w:t>枣庄市</w:t>
      </w:r>
      <w:r>
        <w:rPr>
          <w:rFonts w:hint="default" w:ascii="方正小标宋简体" w:hAnsi="方正小标宋简体" w:eastAsia="方正小标宋简体" w:cs="方正小标宋简体"/>
          <w:color w:val="000000"/>
          <w:sz w:val="44"/>
          <w:u w:val="none"/>
        </w:rPr>
        <w:t>薛城区市场监督管理局</w:t>
      </w:r>
      <w:bookmarkEnd w:id="0"/>
    </w:p>
    <w:p>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薛市监处罚〔2025〕143号</w:t>
      </w:r>
      <w:bookmarkEnd w:id="2"/>
    </w:p>
    <w:p>
      <w:pPr>
        <w:keepNext w:val="0"/>
        <w:keepLines w:val="0"/>
        <w:pageBreakBefore w:val="0"/>
        <w:kinsoku/>
        <w:overflowPunct/>
        <w:topLinePunct w:val="0"/>
        <w:bidi w:val="0"/>
        <w:spacing w:line="440" w:lineRule="exact"/>
        <w:rPr>
          <w:rFonts w:hint="eastAsia" w:ascii="Times New Roman" w:hAnsi="Times New Roman" w:eastAsia="仿宋_GB2312" w:cs="Mongolian Baiti"/>
          <w:b w:val="0"/>
          <w:bCs/>
          <w:color w:val="auto"/>
          <w:sz w:val="32"/>
          <w:szCs w:val="32"/>
          <w:u w:val="none"/>
          <w:lang w:val="en-US" w:eastAsia="zh-CN"/>
        </w:rPr>
      </w:pPr>
      <w:bookmarkStart w:id="3" w:name="CALCULATE—DSR—tAjDsrs_cMc"/>
      <w:r>
        <w:rPr>
          <w:rFonts w:hint="eastAsia" w:ascii="Times New Roman" w:hAnsi="Times New Roman" w:eastAsia="仿宋_GB2312" w:cs="Mongolian Baiti"/>
          <w:b w:val="0"/>
          <w:bCs/>
          <w:color w:val="000000"/>
          <w:kern w:val="1"/>
          <w:sz w:val="32"/>
          <w:szCs w:val="32"/>
          <w:u w:val="none"/>
        </w:rPr>
        <w:t>当事人：</w:t>
      </w:r>
      <w:r>
        <w:rPr>
          <w:rFonts w:hint="eastAsia" w:ascii="仿宋_GB2312" w:hAnsi="仿宋_GB2312" w:eastAsia="仿宋_GB2312" w:cs="仿宋_GB2312"/>
          <w:color w:val="000000"/>
          <w:sz w:val="32"/>
          <w:szCs w:val="32"/>
          <w:u w:val="none"/>
        </w:rPr>
        <w:t>枣庄薛城区四姐青菜批发部</w:t>
      </w:r>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p>
    <w:p>
      <w:pPr>
        <w:keepNext w:val="0"/>
        <w:keepLines w:val="0"/>
        <w:pageBreakBefore w:val="0"/>
        <w:kinsoku/>
        <w:overflowPunct/>
        <w:topLinePunct w:val="0"/>
        <w:bidi w:val="0"/>
        <w:spacing w:line="440" w:lineRule="exact"/>
        <w:ind w:left="140" w:hanging="140"/>
        <w:rPr>
          <w:rFonts w:hint="eastAsia" w:ascii="Times New Roman" w:hAnsi="Times New Roman" w:eastAsia="仿宋_GB2312" w:cs="Mongolian Baiti"/>
          <w:b w:val="0"/>
          <w:bCs/>
          <w:color w:val="auto"/>
          <w:kern w:val="1"/>
          <w:sz w:val="32"/>
          <w:szCs w:val="32"/>
          <w:u w:val="none"/>
        </w:rPr>
      </w:pPr>
      <w:r>
        <w:rPr>
          <w:rFonts w:hint="eastAsia" w:ascii="Times New Roman" w:hAnsi="Times New Roman" w:eastAsia="仿宋_GB2312" w:cs="微软雅黑"/>
          <w:b w:val="0"/>
          <w:bCs/>
          <w:color w:val="000000"/>
          <w:kern w:val="1"/>
          <w:sz w:val="32"/>
          <w:szCs w:val="32"/>
          <w:u w:val="none"/>
        </w:rPr>
        <w:t>主体资格证照</w:t>
      </w:r>
      <w:r>
        <w:rPr>
          <w:rFonts w:hint="eastAsia" w:ascii="Times New Roman" w:hAnsi="Times New Roman" w:eastAsia="仿宋_GB2312" w:cs="Mongolian Baiti"/>
          <w:b w:val="0"/>
          <w:bCs/>
          <w:color w:val="000000"/>
          <w:kern w:val="1"/>
          <w:sz w:val="32"/>
          <w:szCs w:val="32"/>
          <w:u w:val="none"/>
        </w:rPr>
        <w:t>名称：</w:t>
      </w:r>
      <w:bookmarkStart w:id="4" w:name="CALCULATE—DSR—tAjDsrs_cZtzgzzmc"/>
      <w:r>
        <w:rPr>
          <w:rFonts w:hint="eastAsia" w:ascii="Times New Roman" w:hAnsi="Times New Roman" w:eastAsia="仿宋_GB2312" w:cs="Mongolian Baiti"/>
          <w:b w:val="0"/>
          <w:color w:val="000000"/>
          <w:sz w:val="32"/>
          <w:u w:val="none"/>
        </w:rPr>
        <w:t>《营业执照》</w:t>
      </w:r>
      <w:bookmarkEnd w:id="4"/>
      <w:r>
        <w:rPr>
          <w:rFonts w:hint="eastAsia" w:ascii="Times New Roman" w:hAnsi="Times New Roman" w:eastAsia="仿宋_GB2312" w:cs="Mongolian Baiti"/>
          <w:b w:val="0"/>
          <w:bCs/>
          <w:color w:val="000000"/>
          <w:kern w:val="1"/>
          <w:sz w:val="32"/>
          <w:szCs w:val="32"/>
          <w:u w:val="none"/>
        </w:rPr>
        <w:t xml:space="preserve">                                  </w:t>
      </w:r>
    </w:p>
    <w:p>
      <w:pPr>
        <w:keepNext w:val="0"/>
        <w:keepLines w:val="0"/>
        <w:pageBreakBefore w:val="0"/>
        <w:kinsoku/>
        <w:overflowPunct/>
        <w:topLinePunct w:val="0"/>
        <w:bidi w:val="0"/>
        <w:spacing w:line="440" w:lineRule="exact"/>
        <w:ind w:left="140" w:hanging="140"/>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统一社会信用代码</w:t>
      </w:r>
      <w:r>
        <w:rPr>
          <w:rFonts w:hint="eastAsia" w:ascii="Times New Roman" w:hAnsi="Times New Roman" w:eastAsia="仿宋_GB2312" w:cs="Mongolian Baiti"/>
          <w:b w:val="0"/>
          <w:bCs/>
          <w:color w:val="000000"/>
          <w:kern w:val="1"/>
          <w:sz w:val="32"/>
          <w:szCs w:val="32"/>
          <w:u w:val="none"/>
          <w:lang w:eastAsia="zh-CN"/>
        </w:rPr>
        <w:t>：</w:t>
      </w:r>
      <w:r>
        <w:rPr>
          <w:rFonts w:hint="eastAsia" w:ascii="Times New Roman" w:hAnsi="Times New Roman" w:eastAsia="仿宋_GB2312" w:cs="Mongolian Baiti"/>
          <w:b w:val="0"/>
          <w:bCs/>
          <w:color w:val="000000"/>
          <w:kern w:val="1"/>
          <w:sz w:val="32"/>
          <w:szCs w:val="32"/>
          <w:u w:val="none"/>
        </w:rPr>
        <w:t xml:space="preserve">92370403MA7GJKH276                                 </w:t>
      </w:r>
    </w:p>
    <w:p>
      <w:pPr>
        <w:keepNext w:val="0"/>
        <w:keepLines w:val="0"/>
        <w:pageBreakBefore w:val="0"/>
        <w:kinsoku/>
        <w:overflowPunct/>
        <w:topLinePunct w:val="0"/>
        <w:bidi w:val="0"/>
        <w:spacing w:line="440" w:lineRule="exact"/>
        <w:ind w:left="140" w:hanging="140"/>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住所（住址）：</w:t>
      </w:r>
      <w:r>
        <w:rPr>
          <w:rFonts w:hint="eastAsia" w:ascii="Times New Roman" w:hAnsi="Times New Roman" w:eastAsia="仿宋_GB2312" w:cs="Mongolian Baiti"/>
          <w:b w:val="0"/>
          <w:color w:val="000000"/>
          <w:sz w:val="32"/>
          <w:u w:val="none"/>
        </w:rPr>
        <w:t>临城街道北批市场青菜批发市场南一排6-1</w:t>
      </w:r>
      <w:r>
        <w:rPr>
          <w:rFonts w:hint="eastAsia" w:ascii="Times New Roman" w:hAnsi="Times New Roman" w:eastAsia="仿宋_GB2312" w:cs="Mongolian Baiti"/>
          <w:b w:val="0"/>
          <w:color w:val="000000"/>
          <w:sz w:val="32"/>
          <w:u w:val="none"/>
          <w:lang w:val="en-US" w:eastAsia="zh-CN"/>
        </w:rPr>
        <w:t>0</w:t>
      </w:r>
      <w:r>
        <w:rPr>
          <w:rFonts w:hint="eastAsia" w:ascii="Times New Roman" w:hAnsi="Times New Roman" w:eastAsia="仿宋_GB2312" w:cs="Mongolian Baiti"/>
          <w:b w:val="0"/>
          <w:color w:val="000000"/>
          <w:sz w:val="32"/>
          <w:u w:val="none"/>
        </w:rPr>
        <w:t>号</w:t>
      </w:r>
      <w:r>
        <w:rPr>
          <w:rFonts w:hint="eastAsia"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lang w:val="en-US" w:eastAsia="zh-CN"/>
        </w:rPr>
        <w:t xml:space="preserve"> </w:t>
      </w:r>
    </w:p>
    <w:p>
      <w:pPr>
        <w:keepNext w:val="0"/>
        <w:keepLines w:val="0"/>
        <w:pageBreakBefore w:val="0"/>
        <w:kinsoku/>
        <w:overflowPunct/>
        <w:topLinePunct w:val="0"/>
        <w:bidi w:val="0"/>
        <w:spacing w:line="440" w:lineRule="exact"/>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法定代表人（负责人</w:t>
      </w:r>
      <w:r>
        <w:rPr>
          <w:rFonts w:hint="eastAsia" w:ascii="Times New Roman" w:hAnsi="Times New Roman" w:eastAsia="仿宋_GB2312" w:cs="Mongolian Baiti"/>
          <w:b w:val="0"/>
          <w:bCs/>
          <w:color w:val="000000"/>
          <w:kern w:val="1"/>
          <w:sz w:val="32"/>
          <w:szCs w:val="32"/>
          <w:u w:val="none"/>
          <w:lang w:eastAsia="zh-CN"/>
        </w:rPr>
        <w:t>、经营者</w:t>
      </w:r>
      <w:r>
        <w:rPr>
          <w:rFonts w:hint="eastAsia" w:ascii="Times New Roman" w:hAnsi="Times New Roman" w:eastAsia="仿宋_GB2312" w:cs="Mongolian Baiti"/>
          <w:b w:val="0"/>
          <w:bCs/>
          <w:color w:val="000000"/>
          <w:kern w:val="1"/>
          <w:sz w:val="32"/>
          <w:szCs w:val="32"/>
          <w:u w:val="none"/>
        </w:rPr>
        <w:t>）：</w:t>
      </w:r>
      <w:r>
        <w:rPr>
          <w:rFonts w:hint="eastAsia" w:ascii="Times New Roman" w:hAnsi="Times New Roman" w:eastAsia="仿宋_GB2312" w:cs="Mongolian Baiti"/>
          <w:b w:val="0"/>
          <w:bCs/>
          <w:color w:val="000000"/>
          <w:kern w:val="1"/>
          <w:sz w:val="32"/>
          <w:szCs w:val="32"/>
          <w:u w:val="none"/>
          <w:lang w:val="en-US" w:eastAsia="zh-CN"/>
        </w:rPr>
        <w:t>***</w:t>
      </w:r>
      <w:r>
        <w:rPr>
          <w:rFonts w:hint="eastAsia" w:ascii="Times New Roman" w:hAnsi="Times New Roman" w:eastAsia="仿宋_GB2312" w:cs="Mongolian Baiti"/>
          <w:b w:val="0"/>
          <w:bCs/>
          <w:color w:val="000000"/>
          <w:kern w:val="1"/>
          <w:sz w:val="32"/>
          <w:szCs w:val="32"/>
          <w:u w:val="none"/>
        </w:rPr>
        <w:t xml:space="preserve">                </w:t>
      </w:r>
    </w:p>
    <w:p>
      <w:pPr>
        <w:keepNext w:val="0"/>
        <w:keepLines w:val="0"/>
        <w:pageBreakBefore w:val="0"/>
        <w:kinsoku/>
        <w:overflowPunct/>
        <w:topLinePunct w:val="0"/>
        <w:bidi w:val="0"/>
        <w:spacing w:line="440" w:lineRule="exact"/>
        <w:rPr>
          <w:rFonts w:hint="eastAsia" w:ascii="Times New Roman" w:hAnsi="Times New Roman" w:eastAsia="仿宋_GB2312" w:cs="Mongolian Baiti"/>
          <w:b w:val="0"/>
          <w:bCs/>
          <w:color w:val="000000"/>
          <w:kern w:val="1"/>
          <w:sz w:val="32"/>
          <w:szCs w:val="32"/>
          <w:u w:val="none"/>
        </w:rPr>
      </w:pPr>
      <w:r>
        <w:rPr>
          <w:rFonts w:hint="eastAsia" w:ascii="Times New Roman" w:hAnsi="Times New Roman" w:eastAsia="仿宋_GB2312" w:cs="Mongolian Baiti"/>
          <w:b w:val="0"/>
          <w:bCs/>
          <w:color w:val="000000"/>
          <w:kern w:val="1"/>
          <w:sz w:val="32"/>
          <w:szCs w:val="32"/>
          <w:u w:val="none"/>
        </w:rPr>
        <w:t>身份证件号码：</w:t>
      </w:r>
      <w:r>
        <w:rPr>
          <w:rFonts w:hint="eastAsia" w:ascii="Times New Roman" w:hAnsi="Times New Roman" w:eastAsia="仿宋_GB2312" w:cs="Mongolian Baiti"/>
          <w:b w:val="0"/>
          <w:color w:val="000000"/>
          <w:sz w:val="32"/>
          <w:u w:val="none"/>
          <w:lang w:val="en-US" w:eastAsia="zh-CN"/>
        </w:rPr>
        <w:t>******</w:t>
      </w:r>
      <w:bookmarkStart w:id="16" w:name="_GoBack"/>
      <w:bookmarkEnd w:id="16"/>
      <w:r>
        <w:rPr>
          <w:rFonts w:hint="eastAsia" w:ascii="Times New Roman" w:hAnsi="Times New Roman" w:eastAsia="仿宋_GB2312" w:cs="Mongolian Baiti"/>
          <w:b w:val="0"/>
          <w:bCs/>
          <w:color w:val="000000"/>
          <w:kern w:val="1"/>
          <w:sz w:val="32"/>
          <w:szCs w:val="32"/>
          <w:u w:val="none"/>
        </w:rPr>
        <w:t xml:space="preserve">  </w:t>
      </w:r>
      <w:bookmarkEnd w:id="3"/>
    </w:p>
    <w:p>
      <w:pPr>
        <w:keepNext w:val="0"/>
        <w:keepLines w:val="0"/>
        <w:pageBreakBefore w:val="0"/>
        <w:kinsoku/>
        <w:overflowPunct/>
        <w:topLinePunct w:val="0"/>
        <w:bidi w:val="0"/>
        <w:spacing w:line="440" w:lineRule="exact"/>
        <w:ind w:firstLine="640" w:firstLineChars="200"/>
        <w:rPr>
          <w:rFonts w:hint="eastAsia" w:ascii="Times New Roman" w:hAnsi="Times New Roman" w:eastAsia="仿宋_GB2312" w:cs="仿宋"/>
          <w:color w:val="auto"/>
          <w:sz w:val="32"/>
          <w:szCs w:val="32"/>
        </w:rPr>
      </w:pPr>
      <w:r>
        <w:rPr>
          <w:rFonts w:hint="eastAsia" w:ascii="仿宋_GB2312" w:hAnsi="仿宋_GB2312" w:eastAsia="仿宋_GB2312" w:cs="仿宋_GB2312"/>
          <w:color w:val="000000"/>
          <w:sz w:val="32"/>
          <w:szCs w:val="32"/>
          <w:u w:val="none"/>
        </w:rPr>
        <w:t>由本局立案调查的你（单位）</w:t>
      </w:r>
      <w:bookmarkStart w:id="5" w:name="tAj_cAjmcZywfxw"/>
      <w:r>
        <w:rPr>
          <w:rFonts w:hint="eastAsia" w:ascii="仿宋_GB2312" w:hAnsi="仿宋_GB2312" w:eastAsia="仿宋_GB2312" w:cs="仿宋_GB2312"/>
          <w:color w:val="000000"/>
          <w:sz w:val="32"/>
          <w:szCs w:val="32"/>
          <w:u w:val="none"/>
        </w:rPr>
        <w:t>经营农药残留含量超过食品安全标准限量的大葱</w:t>
      </w:r>
      <w:bookmarkEnd w:id="5"/>
      <w:r>
        <w:rPr>
          <w:rFonts w:hint="eastAsia" w:ascii="仿宋_GB2312" w:hAnsi="仿宋_GB2312" w:eastAsia="仿宋_GB2312" w:cs="仿宋_GB2312"/>
          <w:color w:val="000000"/>
          <w:sz w:val="32"/>
          <w:szCs w:val="32"/>
          <w:u w:val="none"/>
        </w:rPr>
        <w:t>一案</w:t>
      </w:r>
      <w:r>
        <w:rPr>
          <w:rFonts w:hint="eastAsia" w:ascii="Times New Roman" w:hAnsi="Times New Roman" w:eastAsia="仿宋_GB2312" w:cs="仿宋"/>
          <w:color w:val="000000"/>
          <w:sz w:val="32"/>
          <w:szCs w:val="32"/>
          <w:u w:val="none"/>
        </w:rPr>
        <w:t>，已调查终结。依据《中华人民共和国行政处罚法》第四十四条的规定，现将本局作出行政处罚的内容及事实、理由、依据告知如下：</w:t>
      </w:r>
    </w:p>
    <w:p>
      <w:pPr>
        <w:keepNext w:val="0"/>
        <w:keepLines w:val="0"/>
        <w:pageBreakBefore w:val="0"/>
        <w:kinsoku/>
        <w:overflowPunct/>
        <w:topLinePunct w:val="0"/>
        <w:bidi w:val="0"/>
        <w:spacing w:line="440" w:lineRule="exact"/>
        <w:ind w:firstLine="640" w:firstLineChars="200"/>
        <w:rPr>
          <w:rFonts w:hint="default" w:ascii="Times New Roman" w:hAnsi="Times New Roman" w:eastAsia="仿宋_GB2312" w:cs="仿宋_GB2312"/>
          <w:sz w:val="32"/>
          <w:szCs w:val="32"/>
          <w:u w:val="none"/>
          <w:lang w:val="en-US" w:eastAsia="zh-CN"/>
        </w:rPr>
      </w:pPr>
      <w:r>
        <w:rPr>
          <w:rFonts w:hint="eastAsia" w:ascii="仿宋_GB2312" w:hAnsi="仿宋_GB2312" w:eastAsia="仿宋_GB2312" w:cs="仿宋_GB2312"/>
          <w:color w:val="000000"/>
          <w:sz w:val="32"/>
          <w:szCs w:val="32"/>
          <w:u w:val="none"/>
        </w:rPr>
        <w:t>案件来源、调查经过及采取行政强制措施的情况：</w:t>
      </w:r>
      <w:bookmarkStart w:id="6" w:name="CALCULATE—AYHC—tAjHc_cHcqkjlaay"/>
      <w:r>
        <w:rPr>
          <w:rFonts w:hint="eastAsia" w:ascii="仿宋_GB2312" w:hAnsi="仿宋_GB2312" w:eastAsia="仿宋_GB2312" w:cs="仿宋_GB2312"/>
          <w:color w:val="000000"/>
          <w:sz w:val="32"/>
          <w:u w:val="none"/>
        </w:rPr>
        <w:t>2025年9月15日，枣庄市薛城区市场监督管理局委托奥迈检测有限公司，对枣庄学院采购使用的大葱进行食品安全监督抽检，经抽样检验，噻虫嗪项目不符合GB 2763-2021《食品安全国家标准 食品中农药最大残留量》要求，检验项目：噻虫嗪实测值为0.42mg/kg,标准指标：≤0.3mg/kg，检验结论为不合格。检验报告编号（NO:AMJC/202509201347）。在案件调查中，经核实，上述抽检不合格大葱是从枣庄薛城区四姐青菜批发部采购，当事人经营农药残留含量超过食品安全标准限量的大葱，其行为违反了《中华人民共和国食品安全法》第三十四条第二项“致病性微生物，农药残留、兽药残留、生物毒素、重金属等污染物质以及其他危害人体健康的物质含量超过食品安全标准限量的食品、食品添加剂、食品相关产品”的规定，为进一步调查取证，申请立案调查。</w:t>
      </w:r>
      <w:bookmarkEnd w:id="6"/>
      <w:bookmarkStart w:id="7" w:name="CALCULATE—QZCS—tAjqzcses_qzcsxx"/>
      <w:r>
        <w:rPr>
          <w:rFonts w:hint="eastAsia" w:ascii="仿宋_GB2312" w:hAnsi="仿宋_GB2312" w:eastAsia="仿宋_GB2312" w:cs="仿宋_GB2312"/>
          <w:color w:val="000000"/>
          <w:sz w:val="32"/>
          <w:szCs w:val="32"/>
          <w:u w:val="none"/>
          <w:lang w:val="en-US" w:eastAsia="zh-CN"/>
        </w:rPr>
        <w:t xml:space="preserve">  </w:t>
      </w:r>
      <w:bookmarkEnd w:id="7"/>
    </w:p>
    <w:p>
      <w:pPr>
        <w:keepNext w:val="0"/>
        <w:keepLines w:val="0"/>
        <w:pageBreakBefore w:val="0"/>
        <w:kinsoku/>
        <w:overflowPunct/>
        <w:topLinePunct w:val="0"/>
        <w:bidi w:val="0"/>
        <w:spacing w:line="440" w:lineRule="exact"/>
        <w:ind w:firstLine="640" w:firstLineChars="200"/>
        <w:rPr>
          <w:rFonts w:ascii="仿宋_GB2312" w:hAnsi="Times New Roman" w:eastAsia="仿宋_GB2312" w:cs="仿宋_GB2312"/>
          <w:sz w:val="32"/>
          <w:szCs w:val="32"/>
          <w:u w:val="none"/>
        </w:rPr>
      </w:pPr>
      <w:r>
        <w:rPr>
          <w:rFonts w:hint="eastAsia" w:ascii="仿宋_GB2312" w:hAnsi="仿宋_GB2312" w:eastAsia="仿宋_GB2312" w:cs="仿宋_GB2312"/>
          <w:color w:val="000000"/>
          <w:sz w:val="32"/>
          <w:szCs w:val="32"/>
          <w:u w:val="none"/>
        </w:rPr>
        <w:t>调查认定的事实：</w:t>
      </w:r>
      <w:bookmarkStart w:id="8" w:name="CALCULATE—AJCF—tAjCfes_cAjss"/>
      <w:r>
        <w:rPr>
          <w:rFonts w:hint="eastAsia" w:ascii="仿宋_GB2312" w:hAnsi="Times New Roman" w:eastAsia="仿宋_GB2312" w:cs="仿宋_GB2312"/>
          <w:color w:val="000000"/>
          <w:sz w:val="32"/>
          <w:u w:val="none"/>
        </w:rPr>
        <w:t>经调查确认，上述抽验不合格的大葱</w:t>
      </w:r>
      <w:r>
        <w:rPr>
          <w:rFonts w:hint="eastAsia" w:ascii="仿宋_GB2312" w:hAnsi="Times New Roman" w:eastAsia="仿宋_GB2312" w:cs="仿宋_GB2312"/>
          <w:color w:val="000000"/>
          <w:sz w:val="32"/>
          <w:u w:val="none"/>
          <w:lang w:eastAsia="zh-CN"/>
        </w:rPr>
        <w:t>当事人</w:t>
      </w:r>
      <w:r>
        <w:rPr>
          <w:rFonts w:hint="eastAsia" w:ascii="仿宋_GB2312" w:hAnsi="Times New Roman" w:eastAsia="仿宋_GB2312" w:cs="仿宋_GB2312"/>
          <w:color w:val="000000"/>
          <w:sz w:val="32"/>
          <w:u w:val="none"/>
        </w:rPr>
        <w:t>是从</w:t>
      </w:r>
      <w:r>
        <w:rPr>
          <w:rFonts w:hint="eastAsia" w:ascii="仿宋_GB2312" w:hAnsi="Times New Roman" w:eastAsia="仿宋_GB2312" w:cs="仿宋_GB2312"/>
          <w:color w:val="000000"/>
          <w:sz w:val="32"/>
          <w:u w:val="none"/>
          <w:lang w:eastAsia="zh-CN"/>
        </w:rPr>
        <w:t>一</w:t>
      </w:r>
      <w:r>
        <w:rPr>
          <w:rFonts w:hint="eastAsia" w:ascii="仿宋_GB2312" w:hAnsi="Times New Roman" w:eastAsia="仿宋_GB2312" w:cs="仿宋_GB2312"/>
          <w:color w:val="000000"/>
          <w:sz w:val="32"/>
          <w:u w:val="none"/>
        </w:rPr>
        <w:t>流动菜农处购进，</w:t>
      </w:r>
      <w:r>
        <w:rPr>
          <w:rFonts w:hint="eastAsia" w:ascii="仿宋_GB2312" w:hAnsi="Times New Roman" w:eastAsia="仿宋_GB2312" w:cs="仿宋_GB2312"/>
          <w:color w:val="000000"/>
          <w:sz w:val="32"/>
          <w:u w:val="none"/>
          <w:lang w:eastAsia="zh-CN"/>
        </w:rPr>
        <w:t>未留存进货单据未索要商家资质，购进的大葱共计</w:t>
      </w:r>
      <w:r>
        <w:rPr>
          <w:rFonts w:hint="eastAsia" w:ascii="仿宋_GB2312" w:hAnsi="Times New Roman" w:eastAsia="仿宋_GB2312" w:cs="仿宋_GB2312"/>
          <w:color w:val="000000"/>
          <w:sz w:val="32"/>
          <w:u w:val="none"/>
        </w:rPr>
        <w:t>25Kg，</w:t>
      </w:r>
      <w:r>
        <w:rPr>
          <w:rFonts w:hint="eastAsia" w:ascii="仿宋_GB2312" w:hAnsi="Times New Roman" w:eastAsia="仿宋_GB2312" w:cs="仿宋_GB2312"/>
          <w:color w:val="000000"/>
          <w:sz w:val="32"/>
          <w:u w:val="none"/>
          <w:lang w:eastAsia="zh-CN"/>
        </w:rPr>
        <w:t>购进</w:t>
      </w:r>
      <w:r>
        <w:rPr>
          <w:rFonts w:hint="eastAsia" w:ascii="仿宋_GB2312" w:hAnsi="Times New Roman" w:eastAsia="仿宋_GB2312" w:cs="仿宋_GB2312"/>
          <w:color w:val="000000"/>
          <w:sz w:val="32"/>
          <w:u w:val="none"/>
        </w:rPr>
        <w:t>价3元/Kg，销售价3.4元/㎏，销售数量25kg，货值75元</w:t>
      </w:r>
      <w:r>
        <w:rPr>
          <w:rFonts w:hint="eastAsia" w:ascii="仿宋_GB2312" w:hAnsi="Times New Roman" w:eastAsia="仿宋_GB2312" w:cs="仿宋_GB2312"/>
          <w:color w:val="000000"/>
          <w:sz w:val="32"/>
          <w:u w:val="none"/>
          <w:lang w:eastAsia="zh-CN"/>
        </w:rPr>
        <w:t>，</w:t>
      </w:r>
      <w:r>
        <w:rPr>
          <w:rFonts w:hint="eastAsia" w:ascii="仿宋_GB2312" w:hAnsi="Times New Roman" w:eastAsia="仿宋_GB2312" w:cs="仿宋_GB2312"/>
          <w:color w:val="000000"/>
          <w:sz w:val="32"/>
          <w:u w:val="none"/>
          <w:lang w:val="en-US" w:eastAsia="zh-CN"/>
        </w:rPr>
        <w:t>违法所得75元。</w:t>
      </w:r>
      <w:r>
        <w:rPr>
          <w:rFonts w:hint="eastAsia" w:ascii="仿宋_GB2312" w:hAnsi="Times New Roman" w:eastAsia="仿宋_GB2312" w:cs="仿宋_GB2312"/>
          <w:color w:val="000000"/>
          <w:sz w:val="32"/>
          <w:u w:val="none"/>
        </w:rPr>
        <w:t>当事人未履行进货查验义务，我局于2025年11月14日下达《责令改正通知书》、《当场行政处罚决定书》，责令当事人立即改正违法行为，并予以警告。</w:t>
      </w:r>
    </w:p>
    <w:bookmarkEnd w:id="8"/>
    <w:p>
      <w:pPr>
        <w:keepNext w:val="0"/>
        <w:keepLines w:val="0"/>
        <w:pageBreakBefore w:val="0"/>
        <w:kinsoku/>
        <w:overflowPunct/>
        <w:topLinePunct w:val="0"/>
        <w:bidi w:val="0"/>
        <w:spacing w:line="440" w:lineRule="exact"/>
        <w:ind w:firstLine="640" w:firstLineChars="200"/>
        <w:rPr>
          <w:rFonts w:ascii="仿宋_GB2312" w:hAnsi="Times New Roman" w:eastAsia="仿宋_GB2312" w:cs="仿宋_GB2312"/>
          <w:sz w:val="32"/>
          <w:szCs w:val="32"/>
          <w:u w:val="none"/>
        </w:rPr>
      </w:pPr>
      <w:r>
        <w:rPr>
          <w:rFonts w:hint="eastAsia" w:ascii="仿宋_GB2312" w:hAnsi="仿宋_GB2312" w:eastAsia="仿宋_GB2312" w:cs="仿宋_GB2312"/>
          <w:color w:val="000000"/>
          <w:sz w:val="32"/>
          <w:szCs w:val="32"/>
          <w:u w:val="none"/>
        </w:rPr>
        <w:t>上述事实，主要有以下证据证明：</w:t>
      </w:r>
    </w:p>
    <w:p>
      <w:pPr>
        <w:keepNext w:val="0"/>
        <w:keepLines w:val="0"/>
        <w:pageBreakBefore w:val="0"/>
        <w:widowControl/>
        <w:numPr>
          <w:ilvl w:val="0"/>
          <w:numId w:val="0"/>
        </w:numPr>
        <w:kinsoku/>
        <w:wordWrap/>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color w:val="221E1F"/>
          <w:spacing w:val="0"/>
          <w:w w:val="100"/>
          <w:sz w:val="32"/>
          <w:szCs w:val="32"/>
          <w:u w:val="none"/>
          <w:lang w:val="en-US" w:eastAsia="zh-CN"/>
        </w:rPr>
      </w:pPr>
      <w:bookmarkStart w:id="9" w:name="CALCULATE—ZJCL—tajCltjes_zjclxx"/>
      <w:r>
        <w:rPr>
          <w:rFonts w:hint="eastAsia" w:ascii="仿宋" w:hAnsi="仿宋" w:eastAsia="仿宋" w:cs="仿宋"/>
          <w:color w:val="000000"/>
          <w:spacing w:val="0"/>
          <w:w w:val="100"/>
          <w:sz w:val="32"/>
          <w:szCs w:val="32"/>
          <w:u w:val="none"/>
          <w:lang w:val="en-US" w:eastAsia="zh-CN"/>
        </w:rPr>
        <w:t>1、《营业执照》和《食品经营许可证》复印件各1份，证明当事人</w:t>
      </w:r>
      <w:r>
        <w:rPr>
          <w:rFonts w:hint="eastAsia" w:ascii="仿宋" w:hAnsi="仿宋" w:eastAsia="仿宋" w:cs="仿宋"/>
          <w:bCs/>
          <w:color w:val="000000"/>
          <w:spacing w:val="0"/>
          <w:w w:val="100"/>
          <w:sz w:val="32"/>
          <w:szCs w:val="32"/>
          <w:u w:val="none"/>
          <w:lang w:val="en-US" w:eastAsia="zh-CN"/>
        </w:rPr>
        <w:t>是具有合法主体资格的食品经营单位；</w:t>
      </w:r>
    </w:p>
    <w:p>
      <w:pPr>
        <w:keepNext w:val="0"/>
        <w:keepLines w:val="0"/>
        <w:pageBreakBefore w:val="0"/>
        <w:widowControl/>
        <w:numPr>
          <w:ilvl w:val="0"/>
          <w:numId w:val="0"/>
        </w:numPr>
        <w:kinsoku/>
        <w:wordWrap/>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2、经营者身份证复印件各1份，证明被调查人身份信息；</w:t>
      </w:r>
    </w:p>
    <w:p>
      <w:pPr>
        <w:keepNext w:val="0"/>
        <w:keepLines w:val="0"/>
        <w:pageBreakBefore w:val="0"/>
        <w:widowControl/>
        <w:numPr>
          <w:ilvl w:val="0"/>
          <w:numId w:val="0"/>
        </w:numPr>
        <w:kinsoku/>
        <w:wordWrap/>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3、《检验报告》和《食品安全抽样检验抽样单（食用农产品）》各1份，证明当事人经营的大葱农药残留含量超过食品安全标准限量的违法事实；</w:t>
      </w:r>
    </w:p>
    <w:p>
      <w:pPr>
        <w:keepNext w:val="0"/>
        <w:keepLines w:val="0"/>
        <w:pageBreakBefore w:val="0"/>
        <w:widowControl/>
        <w:numPr>
          <w:ilvl w:val="0"/>
          <w:numId w:val="0"/>
        </w:numPr>
        <w:kinsoku/>
        <w:wordWrap/>
        <w:overflowPunct/>
        <w:topLinePunct w:val="0"/>
        <w:autoSpaceDE w:val="0"/>
        <w:autoSpaceDN w:val="0"/>
        <w:bidi w:val="0"/>
        <w:adjustRightInd/>
        <w:snapToGrid/>
        <w:spacing w:line="440" w:lineRule="exact"/>
        <w:ind w:firstLine="640" w:firstLineChars="200"/>
        <w:textAlignment w:val="auto"/>
        <w:rPr>
          <w:rFonts w:hint="eastAsia" w:ascii="仿宋" w:hAnsi="仿宋" w:eastAsia="仿宋" w:cs="仿宋"/>
          <w:color w:val="000000"/>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4、《现场笔录》和《询问笔录》各1份，证明现场检查及涉案食品的数量、货值金额、违法所得等情况。</w:t>
      </w:r>
      <w:bookmarkEnd w:id="9"/>
    </w:p>
    <w:p>
      <w:pPr>
        <w:keepNext w:val="0"/>
        <w:keepLines w:val="0"/>
        <w:pageBreakBefore w:val="0"/>
        <w:widowControl w:val="0"/>
        <w:kinsoku/>
        <w:wordWrap/>
        <w:overflowPunct/>
        <w:topLinePunct w:val="0"/>
        <w:autoSpaceDE/>
        <w:autoSpaceDN/>
        <w:bidi w:val="0"/>
        <w:adjustRightInd w:val="0"/>
        <w:snapToGrid/>
        <w:spacing w:line="440" w:lineRule="exact"/>
        <w:ind w:left="-210" w:leftChars="-100" w:right="-210" w:rightChars="-100" w:firstLine="640" w:firstLineChars="200"/>
        <w:jc w:val="left"/>
        <w:textAlignment w:val="baseline"/>
        <w:rPr>
          <w:rFonts w:hint="eastAsia" w:ascii="仿宋_GB2312" w:hAnsi="仿宋_GB2312" w:eastAsia="仿宋_GB2312" w:cs="仿宋_GB2312"/>
          <w:bCs/>
          <w:color w:val="000000"/>
          <w:sz w:val="32"/>
          <w:szCs w:val="32"/>
          <w:u w:val="none"/>
          <w:lang w:val="en-US" w:eastAsia="zh-CN"/>
        </w:rPr>
      </w:pPr>
      <w:r>
        <w:rPr>
          <w:rFonts w:hint="eastAsia" w:ascii="仿宋_GB2312" w:hAnsi="仿宋_GB2312" w:eastAsia="仿宋_GB2312" w:cs="仿宋_GB2312"/>
          <w:bCs/>
          <w:color w:val="000000"/>
          <w:sz w:val="32"/>
          <w:szCs w:val="32"/>
          <w:u w:val="none"/>
          <w:lang w:val="en-US" w:eastAsia="zh-CN"/>
        </w:rPr>
        <w:t>本局于2025年11月26日向当事人下达了薛市监罚告〔2025〕144号《行政处罚告知书》，告知我局拟作出行政处罚的事实、理由、依据及处罚内容，当事人在规定的时间内未提出陈述、申辩也未要求举行听证，视为放弃该权利。</w:t>
      </w:r>
    </w:p>
    <w:p>
      <w:pPr>
        <w:keepNext w:val="0"/>
        <w:keepLines w:val="0"/>
        <w:pageBreakBefore w:val="0"/>
        <w:widowControl/>
        <w:numPr>
          <w:ilvl w:val="0"/>
          <w:numId w:val="0"/>
        </w:numPr>
        <w:kinsoku/>
        <w:wordWrap/>
        <w:overflowPunct/>
        <w:topLinePunct w:val="0"/>
        <w:autoSpaceDE w:val="0"/>
        <w:autoSpaceDN w:val="0"/>
        <w:bidi w:val="0"/>
        <w:adjustRightInd/>
        <w:snapToGrid/>
        <w:spacing w:line="440" w:lineRule="exact"/>
        <w:ind w:firstLine="643" w:firstLineChars="200"/>
        <w:textAlignment w:val="auto"/>
        <w:rPr>
          <w:rFonts w:hint="eastAsia" w:eastAsia="仿宋" w:cs="Times New Roman"/>
          <w:color w:val="000000"/>
          <w:sz w:val="32"/>
          <w:szCs w:val="32"/>
          <w:highlight w:val="none"/>
          <w:u w:val="none"/>
          <w:lang w:val="en-US" w:eastAsia="zh-CN"/>
        </w:rPr>
      </w:pPr>
      <w:r>
        <w:rPr>
          <w:rFonts w:hint="eastAsia" w:ascii="仿宋" w:hAnsi="仿宋" w:eastAsia="仿宋" w:cs="仿宋"/>
          <w:b/>
          <w:bCs/>
          <w:color w:val="000000"/>
          <w:spacing w:val="0"/>
          <w:w w:val="100"/>
          <w:sz w:val="32"/>
          <w:szCs w:val="32"/>
          <w:u w:val="none"/>
          <w:lang w:eastAsia="zh-CN"/>
        </w:rPr>
        <w:t>案件性质：</w:t>
      </w:r>
      <w:r>
        <w:rPr>
          <w:rFonts w:hint="eastAsia" w:eastAsia="仿宋" w:cs="Times New Roman"/>
          <w:color w:val="000000"/>
          <w:sz w:val="32"/>
          <w:szCs w:val="32"/>
          <w:highlight w:val="none"/>
          <w:u w:val="none"/>
          <w:lang w:val="en-US" w:eastAsia="zh-CN"/>
        </w:rPr>
        <w:t>本案中当事人经营农药残留含量超过食品安全标准限量的大葱的违法行为，违反了《中华人民共和国食品安全法》第三十四条第二项：“禁止生产经营下列食品、食品添加剂、食品相关产品：（二）致病性微生物、农药残留、兽药残留、生物毒素、重金属等污染物质以及其他危害人体健康的物质含量超过食品安全标准限量的食品、食品添加剂、食品相关产品”的规定。</w:t>
      </w:r>
    </w:p>
    <w:p>
      <w:pPr>
        <w:keepNext w:val="0"/>
        <w:keepLines w:val="0"/>
        <w:pageBreakBefore w:val="0"/>
        <w:kinsoku/>
        <w:overflowPunct/>
        <w:topLinePunct w:val="0"/>
        <w:bidi w:val="0"/>
        <w:spacing w:line="440" w:lineRule="exact"/>
        <w:ind w:firstLine="643" w:firstLineChars="200"/>
        <w:rPr>
          <w:rFonts w:hint="eastAsia" w:ascii="仿宋" w:hAnsi="仿宋" w:eastAsia="仿宋" w:cs="仿宋"/>
          <w:color w:val="221E1F"/>
          <w:spacing w:val="0"/>
          <w:w w:val="100"/>
          <w:sz w:val="32"/>
          <w:szCs w:val="32"/>
          <w:u w:val="none"/>
          <w:lang w:val="en-US" w:eastAsia="zh-CN"/>
        </w:rPr>
      </w:pPr>
      <w:r>
        <w:rPr>
          <w:rFonts w:hint="eastAsia" w:ascii="Times New Roman" w:hAnsi="仿宋_GB2312" w:eastAsia="仿宋_GB2312" w:cs="仿宋_GB2312"/>
          <w:b/>
          <w:bCs w:val="0"/>
          <w:color w:val="000000"/>
          <w:sz w:val="32"/>
          <w:szCs w:val="32"/>
          <w:u w:val="none"/>
        </w:rPr>
        <w:t>自由裁量理由等其他需要说明的事项：</w:t>
      </w:r>
      <w:bookmarkStart w:id="10" w:name="CALCULATE—AJCF—tAjCfes_cZyclsshly"/>
      <w:r>
        <w:rPr>
          <w:rFonts w:hint="eastAsia" w:ascii="Times New Roman" w:hAnsi="Times New Roman" w:eastAsia="仿宋_GB2312" w:cs="仿宋_GB2312"/>
          <w:color w:val="000000"/>
          <w:sz w:val="32"/>
          <w:u w:val="none"/>
        </w:rPr>
        <w:t>鉴于当事人能积极主动配合调查，态度端正；如实陈述违法事实，并如实提供有关证据资料，其行为符合《山东省市场监督管理行使行政处罚裁量权适用规则》第十一条第（六）项“当事人有下列情形之一，可以依法从轻或者减轻处罚：（六）积极配合调查，如实陈述违法事实，并如实提供有关证据材料的”关于减轻处罚的规定情形，依照《中华人民共和国行政处罚法》第五条第二款</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rPr>
        <w:t>设定和实施行政处罚必须以事实为依据，与违法行为的事实、性质、情节以及社会危害程度相当</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rPr>
        <w:t>和第六条</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rPr>
        <w:t>实施行政处罚，纠正违法行为，应当坚持处罚与教育相结合，教育公民、法人或者其他组织自觉守法</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rPr>
        <w:t>的规定，</w:t>
      </w:r>
      <w:r>
        <w:rPr>
          <w:rFonts w:hint="eastAsia" w:ascii="Times New Roman" w:hAnsi="Times New Roman" w:eastAsia="仿宋_GB2312" w:cs="仿宋_GB2312"/>
          <w:color w:val="000000"/>
          <w:sz w:val="32"/>
          <w:u w:val="none"/>
          <w:lang w:eastAsia="zh-CN"/>
        </w:rPr>
        <w:t>决定</w:t>
      </w:r>
      <w:r>
        <w:rPr>
          <w:rFonts w:hint="eastAsia" w:ascii="Times New Roman" w:hAnsi="Times New Roman" w:eastAsia="仿宋_GB2312" w:cs="仿宋_GB2312"/>
          <w:color w:val="000000"/>
          <w:sz w:val="32"/>
          <w:u w:val="none"/>
        </w:rPr>
        <w:t>给予减轻处罚。</w:t>
      </w:r>
      <w:bookmarkEnd w:id="10"/>
      <w:r>
        <w:rPr>
          <w:rFonts w:hint="eastAsia" w:ascii="仿宋" w:hAnsi="仿宋" w:eastAsia="仿宋" w:cs="仿宋"/>
          <w:color w:val="000000"/>
          <w:spacing w:val="0"/>
          <w:w w:val="100"/>
          <w:sz w:val="32"/>
          <w:szCs w:val="32"/>
          <w:u w:val="none"/>
          <w:lang w:val="en-US" w:eastAsia="zh-CN"/>
        </w:rPr>
        <w:t xml:space="preserve">      </w:t>
      </w:r>
    </w:p>
    <w:p>
      <w:pPr>
        <w:keepNext w:val="0"/>
        <w:keepLines w:val="0"/>
        <w:pageBreakBefore w:val="0"/>
        <w:kinsoku/>
        <w:overflowPunct/>
        <w:topLinePunct w:val="0"/>
        <w:bidi w:val="0"/>
        <w:spacing w:line="440" w:lineRule="exact"/>
        <w:ind w:firstLine="640" w:firstLineChars="200"/>
        <w:rPr>
          <w:rFonts w:hint="eastAsia" w:ascii="仿宋_GB2312" w:hAnsi="Times New Roman" w:eastAsia="仿宋_GB2312" w:cs="仿宋_GB2312"/>
          <w:color w:val="000000"/>
          <w:sz w:val="32"/>
          <w:u w:val="none"/>
          <w:lang w:val="en-US" w:eastAsia="zh-CN"/>
        </w:rPr>
      </w:pPr>
      <w:r>
        <w:rPr>
          <w:rFonts w:hint="eastAsia" w:ascii="Times New Roman" w:hAnsi="仿宋_GB2312" w:eastAsia="仿宋_GB2312" w:cs="仿宋_GB2312"/>
          <w:b w:val="0"/>
          <w:bCs/>
          <w:color w:val="000000"/>
          <w:sz w:val="32"/>
          <w:szCs w:val="32"/>
          <w:u w:val="none"/>
        </w:rPr>
        <w:t>处理意见及依据：</w:t>
      </w:r>
      <w:bookmarkStart w:id="11" w:name="CALCULATE—WFFLFGXX—tAjCfes_cWfflfg"/>
      <w:r>
        <w:rPr>
          <w:rFonts w:hint="eastAsia" w:ascii="Times New Roman" w:hAnsi="仿宋_GB2312" w:eastAsia="仿宋_GB2312" w:cs="仿宋_GB2312"/>
          <w:bCs/>
          <w:color w:val="000000"/>
          <w:sz w:val="32"/>
          <w:szCs w:val="32"/>
          <w:u w:val="none"/>
          <w:lang w:val="en-US" w:eastAsia="zh-CN"/>
        </w:rPr>
        <w:t>依据</w:t>
      </w:r>
      <w:bookmarkEnd w:id="11"/>
      <w:bookmarkStart w:id="12" w:name="CALCULATE—WFFLFGXX—tAjCfes_cCfyj"/>
      <w:r>
        <w:rPr>
          <w:rFonts w:hint="eastAsia" w:ascii="仿宋_GB2312" w:hAnsi="Times New Roman" w:eastAsia="仿宋_GB2312" w:cs="仿宋_GB2312"/>
          <w:color w:val="000000"/>
          <w:sz w:val="32"/>
          <w:u w:val="none"/>
        </w:rPr>
        <w:t>《中华人民共和国食品安全法》第一百二十四条第一款</w:t>
      </w:r>
      <w:r>
        <w:rPr>
          <w:rFonts w:hint="eastAsia" w:ascii="仿宋" w:hAnsi="仿宋" w:eastAsia="仿宋" w:cs="仿宋"/>
          <w:bCs/>
          <w:color w:val="000000"/>
          <w:sz w:val="28"/>
          <w:szCs w:val="28"/>
          <w:u w:val="none"/>
          <w:lang w:eastAsia="zh-CN"/>
        </w:rPr>
        <w:t>“</w:t>
      </w:r>
      <w:r>
        <w:rPr>
          <w:rFonts w:hint="eastAsia" w:ascii="仿宋_GB2312" w:hAnsi="Times New Roman" w:eastAsia="仿宋_GB2312" w:cs="仿宋_GB2312"/>
          <w:color w:val="000000"/>
          <w:sz w:val="32"/>
          <w:u w:val="none"/>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r>
        <w:rPr>
          <w:rFonts w:hint="eastAsia" w:ascii="仿宋" w:hAnsi="仿宋" w:eastAsia="仿宋" w:cs="仿宋"/>
          <w:bCs/>
          <w:color w:val="000000"/>
          <w:sz w:val="28"/>
          <w:szCs w:val="28"/>
          <w:u w:val="none"/>
          <w:lang w:eastAsia="zh-CN"/>
        </w:rPr>
        <w:t>”</w:t>
      </w:r>
      <w:r>
        <w:rPr>
          <w:rFonts w:hint="eastAsia" w:ascii="仿宋_GB2312" w:hAnsi="Times New Roman" w:eastAsia="仿宋_GB2312" w:cs="仿宋_GB2312"/>
          <w:color w:val="000000"/>
          <w:sz w:val="32"/>
          <w:u w:val="none"/>
          <w:lang w:val="en-US" w:eastAsia="zh-CN"/>
        </w:rPr>
        <w:t>以及</w:t>
      </w:r>
      <w:r>
        <w:rPr>
          <w:rFonts w:hint="eastAsia" w:ascii="仿宋_GB2312" w:hAnsi="Times New Roman" w:eastAsia="仿宋_GB2312" w:cs="仿宋_GB2312"/>
          <w:color w:val="000000"/>
          <w:sz w:val="32"/>
          <w:u w:val="none"/>
        </w:rPr>
        <w:t>《中华人民共和国行政处罚法》第二十八条第一款</w:t>
      </w:r>
      <w:r>
        <w:rPr>
          <w:rFonts w:hint="eastAsia" w:ascii="仿宋" w:hAnsi="仿宋" w:eastAsia="仿宋" w:cs="仿宋"/>
          <w:bCs/>
          <w:color w:val="000000"/>
          <w:sz w:val="28"/>
          <w:szCs w:val="28"/>
          <w:u w:val="none"/>
          <w:lang w:eastAsia="zh-CN"/>
        </w:rPr>
        <w:t>“</w:t>
      </w:r>
      <w:r>
        <w:rPr>
          <w:rFonts w:hint="eastAsia" w:ascii="仿宋_GB2312" w:hAnsi="Times New Roman" w:eastAsia="仿宋_GB2312" w:cs="仿宋_GB2312"/>
          <w:color w:val="000000"/>
          <w:sz w:val="32"/>
          <w:u w:val="none"/>
        </w:rPr>
        <w:t>行政机关实施行政处罚时，应当责令当事人改正或者限期改正违法行为</w:t>
      </w:r>
      <w:r>
        <w:rPr>
          <w:rFonts w:hint="eastAsia" w:ascii="仿宋" w:hAnsi="仿宋" w:eastAsia="仿宋" w:cs="仿宋"/>
          <w:bCs/>
          <w:color w:val="000000"/>
          <w:sz w:val="28"/>
          <w:szCs w:val="28"/>
          <w:u w:val="none"/>
          <w:lang w:eastAsia="zh-CN"/>
        </w:rPr>
        <w:t>”</w:t>
      </w:r>
      <w:bookmarkEnd w:id="12"/>
      <w:r>
        <w:rPr>
          <w:rFonts w:hint="eastAsia" w:ascii="仿宋_GB2312" w:hAnsi="Times New Roman" w:eastAsia="仿宋_GB2312" w:cs="仿宋_GB2312"/>
          <w:color w:val="000000"/>
          <w:sz w:val="32"/>
          <w:u w:val="none"/>
          <w:lang w:val="en-US" w:eastAsia="zh-CN"/>
        </w:rPr>
        <w:t>之规定。决定对当事人减轻处罚如下：</w:t>
      </w:r>
      <w:bookmarkStart w:id="13" w:name="CALCULATE—AJCF—tAjCfes_cXzcfnr"/>
    </w:p>
    <w:p>
      <w:pPr>
        <w:keepNext w:val="0"/>
        <w:keepLines w:val="0"/>
        <w:pageBreakBefore w:val="0"/>
        <w:numPr>
          <w:ilvl w:val="0"/>
          <w:numId w:val="3"/>
        </w:numPr>
        <w:kinsoku/>
        <w:overflowPunct/>
        <w:topLinePunct w:val="0"/>
        <w:bidi w:val="0"/>
        <w:spacing w:line="440" w:lineRule="exact"/>
        <w:ind w:firstLine="640" w:firstLineChars="200"/>
        <w:rPr>
          <w:rFonts w:hint="eastAsia" w:ascii="仿宋_GB2312" w:hAnsi="Times New Roman" w:eastAsia="仿宋_GB2312" w:cs="仿宋_GB2312"/>
          <w:color w:val="000000"/>
          <w:sz w:val="32"/>
          <w:u w:val="none"/>
          <w:lang w:eastAsia="zh-CN"/>
        </w:rPr>
      </w:pPr>
      <w:r>
        <w:rPr>
          <w:rFonts w:hint="eastAsia" w:ascii="仿宋_GB2312" w:hAnsi="Times New Roman" w:eastAsia="仿宋_GB2312" w:cs="仿宋_GB2312"/>
          <w:color w:val="000000"/>
          <w:sz w:val="32"/>
          <w:u w:val="none"/>
        </w:rPr>
        <w:t>罚款</w:t>
      </w:r>
      <w:r>
        <w:rPr>
          <w:rFonts w:hint="eastAsia" w:ascii="仿宋_GB2312" w:hAnsi="Times New Roman" w:eastAsia="仿宋_GB2312" w:cs="仿宋_GB2312"/>
          <w:color w:val="000000"/>
          <w:sz w:val="32"/>
          <w:u w:val="none"/>
          <w:lang w:val="en-US" w:eastAsia="zh-CN"/>
        </w:rPr>
        <w:t>:</w:t>
      </w:r>
      <w:r>
        <w:rPr>
          <w:rFonts w:hint="eastAsia" w:ascii="仿宋_GB2312" w:hAnsi="Times New Roman" w:eastAsia="仿宋_GB2312" w:cs="仿宋_GB2312"/>
          <w:color w:val="000000"/>
          <w:sz w:val="32"/>
          <w:u w:val="none"/>
          <w:lang w:eastAsia="zh-CN"/>
        </w:rPr>
        <w:t>叁仟元整</w:t>
      </w:r>
      <w:r>
        <w:rPr>
          <w:rFonts w:hint="eastAsia" w:ascii="仿宋_GB2312" w:hAnsi="Times New Roman" w:eastAsia="仿宋_GB2312" w:cs="仿宋_GB2312"/>
          <w:color w:val="000000"/>
          <w:sz w:val="32"/>
          <w:u w:val="none"/>
        </w:rPr>
        <w:t>（¥</w:t>
      </w:r>
      <w:r>
        <w:rPr>
          <w:rFonts w:hint="eastAsia" w:ascii="仿宋_GB2312" w:hAnsi="Times New Roman" w:eastAsia="仿宋_GB2312" w:cs="仿宋_GB2312"/>
          <w:color w:val="000000"/>
          <w:sz w:val="32"/>
          <w:u w:val="none"/>
          <w:lang w:val="en-US" w:eastAsia="zh-CN"/>
        </w:rPr>
        <w:t>3</w:t>
      </w:r>
      <w:r>
        <w:rPr>
          <w:rFonts w:hint="eastAsia" w:ascii="仿宋_GB2312" w:hAnsi="Times New Roman" w:eastAsia="仿宋_GB2312" w:cs="仿宋_GB2312"/>
          <w:color w:val="000000"/>
          <w:sz w:val="32"/>
          <w:u w:val="none"/>
        </w:rPr>
        <w:t>000.00）</w:t>
      </w:r>
      <w:bookmarkEnd w:id="13"/>
      <w:r>
        <w:rPr>
          <w:rFonts w:hint="eastAsia" w:ascii="仿宋_GB2312" w:hAnsi="Times New Roman" w:eastAsia="仿宋_GB2312" w:cs="仿宋_GB2312"/>
          <w:color w:val="000000"/>
          <w:sz w:val="32"/>
          <w:u w:val="none"/>
          <w:lang w:eastAsia="zh-CN"/>
        </w:rPr>
        <w:t>；</w:t>
      </w:r>
    </w:p>
    <w:p>
      <w:pPr>
        <w:keepNext w:val="0"/>
        <w:keepLines w:val="0"/>
        <w:pageBreakBefore w:val="0"/>
        <w:numPr>
          <w:ilvl w:val="0"/>
          <w:numId w:val="3"/>
        </w:numPr>
        <w:kinsoku/>
        <w:overflowPunct/>
        <w:topLinePunct w:val="0"/>
        <w:bidi w:val="0"/>
        <w:spacing w:line="440" w:lineRule="exact"/>
        <w:ind w:firstLine="640" w:firstLineChars="200"/>
        <w:rPr>
          <w:rFonts w:hint="eastAsia" w:ascii="仿宋_GB2312" w:hAnsi="Times New Roman" w:eastAsia="仿宋_GB2312" w:cs="仿宋_GB2312"/>
          <w:sz w:val="32"/>
          <w:u w:val="none"/>
          <w:lang w:eastAsia="zh-CN"/>
        </w:rPr>
      </w:pPr>
      <w:r>
        <w:rPr>
          <w:rFonts w:hint="eastAsia" w:ascii="仿宋_GB2312" w:hAnsi="Times New Roman" w:eastAsia="仿宋_GB2312" w:cs="仿宋_GB2312"/>
          <w:color w:val="000000"/>
          <w:sz w:val="32"/>
          <w:u w:val="none"/>
          <w:lang w:eastAsia="zh-CN"/>
        </w:rPr>
        <w:t>没收违法所得</w:t>
      </w:r>
      <w:r>
        <w:rPr>
          <w:rFonts w:hint="eastAsia" w:ascii="仿宋_GB2312" w:hAnsi="Times New Roman" w:eastAsia="仿宋_GB2312" w:cs="仿宋_GB2312"/>
          <w:color w:val="000000"/>
          <w:sz w:val="32"/>
          <w:u w:val="none"/>
          <w:lang w:val="en-US" w:eastAsia="zh-CN"/>
        </w:rPr>
        <w:t>:</w:t>
      </w:r>
      <w:r>
        <w:rPr>
          <w:rFonts w:hint="eastAsia" w:ascii="仿宋_GB2312" w:hAnsi="Times New Roman" w:eastAsia="仿宋_GB2312" w:cs="仿宋_GB2312"/>
          <w:color w:val="000000"/>
          <w:sz w:val="32"/>
          <w:u w:val="none"/>
          <w:lang w:eastAsia="zh-CN"/>
        </w:rPr>
        <w:t>柒拾伍元整</w:t>
      </w:r>
      <w:r>
        <w:rPr>
          <w:rFonts w:hint="eastAsia" w:ascii="仿宋_GB2312" w:hAnsi="Times New Roman" w:eastAsia="仿宋_GB2312" w:cs="仿宋_GB2312"/>
          <w:color w:val="000000"/>
          <w:sz w:val="32"/>
          <w:u w:val="none"/>
        </w:rPr>
        <w:t>（¥</w:t>
      </w:r>
      <w:r>
        <w:rPr>
          <w:rFonts w:hint="eastAsia" w:ascii="仿宋_GB2312" w:hAnsi="Times New Roman" w:eastAsia="仿宋_GB2312" w:cs="仿宋_GB2312"/>
          <w:color w:val="000000"/>
          <w:sz w:val="32"/>
          <w:u w:val="none"/>
          <w:lang w:val="en-US" w:eastAsia="zh-CN"/>
        </w:rPr>
        <w:t>75.00</w:t>
      </w:r>
      <w:r>
        <w:rPr>
          <w:rFonts w:hint="eastAsia" w:ascii="仿宋_GB2312" w:hAnsi="Times New Roman" w:eastAsia="仿宋_GB2312" w:cs="仿宋_GB2312"/>
          <w:color w:val="000000"/>
          <w:sz w:val="32"/>
          <w:u w:val="none"/>
        </w:rPr>
        <w:t>）</w:t>
      </w:r>
      <w:r>
        <w:rPr>
          <w:rFonts w:hint="eastAsia" w:ascii="仿宋_GB2312" w:hAnsi="Times New Roman" w:eastAsia="仿宋_GB2312" w:cs="仿宋_GB2312"/>
          <w:color w:val="000000"/>
          <w:sz w:val="32"/>
          <w:u w:val="none"/>
          <w:lang w:eastAsia="zh-CN"/>
        </w:rPr>
        <w:t>。</w:t>
      </w:r>
    </w:p>
    <w:p>
      <w:pPr>
        <w:keepNext w:val="0"/>
        <w:keepLines w:val="0"/>
        <w:pageBreakBefore w:val="0"/>
        <w:numPr>
          <w:ilvl w:val="0"/>
          <w:numId w:val="0"/>
        </w:numPr>
        <w:kinsoku/>
        <w:overflowPunct/>
        <w:topLinePunct w:val="0"/>
        <w:bidi w:val="0"/>
        <w:spacing w:line="440" w:lineRule="exact"/>
        <w:ind w:firstLine="640" w:firstLineChars="200"/>
        <w:rPr>
          <w:rFonts w:hint="eastAsia" w:ascii="仿宋_GB2312" w:hAnsi="Times New Roman" w:eastAsia="仿宋_GB2312" w:cs="仿宋_GB2312"/>
          <w:color w:val="000000"/>
          <w:sz w:val="32"/>
          <w:u w:val="none"/>
          <w:lang w:val="en-US" w:eastAsia="zh-CN"/>
        </w:rPr>
      </w:pPr>
      <w:r>
        <w:rPr>
          <w:rFonts w:hint="eastAsia" w:ascii="仿宋_GB2312" w:hAnsi="Times New Roman" w:eastAsia="仿宋_GB2312" w:cs="仿宋_GB2312"/>
          <w:color w:val="000000"/>
          <w:sz w:val="32"/>
          <w:u w:val="none"/>
          <w:lang w:eastAsia="zh-CN"/>
        </w:rPr>
        <w:t>罚没款共计</w:t>
      </w:r>
      <w:r>
        <w:rPr>
          <w:rFonts w:hint="eastAsia" w:ascii="仿宋_GB2312" w:hAnsi="Times New Roman" w:eastAsia="仿宋_GB2312" w:cs="仿宋_GB2312"/>
          <w:color w:val="000000"/>
          <w:sz w:val="32"/>
          <w:u w:val="none"/>
          <w:lang w:val="en-US" w:eastAsia="zh-CN"/>
        </w:rPr>
        <w:t>:</w:t>
      </w:r>
      <w:r>
        <w:rPr>
          <w:rFonts w:hint="eastAsia" w:ascii="仿宋_GB2312" w:hAnsi="Times New Roman" w:eastAsia="仿宋_GB2312" w:cs="仿宋_GB2312"/>
          <w:color w:val="000000"/>
          <w:sz w:val="32"/>
          <w:u w:val="none"/>
          <w:lang w:eastAsia="zh-CN"/>
        </w:rPr>
        <w:t>叁仟零柒拾伍元整</w:t>
      </w:r>
      <w:r>
        <w:rPr>
          <w:rFonts w:hint="eastAsia" w:ascii="仿宋_GB2312" w:hAnsi="Times New Roman" w:eastAsia="仿宋_GB2312" w:cs="仿宋_GB2312"/>
          <w:color w:val="000000"/>
          <w:sz w:val="32"/>
          <w:u w:val="none"/>
          <w:lang w:val="en-US" w:eastAsia="zh-CN"/>
        </w:rPr>
        <w:t>(</w:t>
      </w:r>
      <w:r>
        <w:rPr>
          <w:rFonts w:hint="eastAsia" w:ascii="仿宋_GB2312" w:hAnsi="Times New Roman" w:eastAsia="仿宋_GB2312" w:cs="仿宋_GB2312"/>
          <w:color w:val="000000"/>
          <w:sz w:val="32"/>
          <w:u w:val="none"/>
        </w:rPr>
        <w:t>¥</w:t>
      </w:r>
      <w:r>
        <w:rPr>
          <w:rFonts w:hint="eastAsia" w:ascii="仿宋_GB2312" w:hAnsi="Times New Roman" w:eastAsia="仿宋_GB2312" w:cs="仿宋_GB2312"/>
          <w:color w:val="000000"/>
          <w:sz w:val="32"/>
          <w:u w:val="none"/>
          <w:lang w:val="en-US" w:eastAsia="zh-CN"/>
        </w:rPr>
        <w:t>3</w:t>
      </w:r>
      <w:r>
        <w:rPr>
          <w:rFonts w:hint="eastAsia" w:ascii="仿宋_GB2312" w:hAnsi="Times New Roman" w:eastAsia="仿宋_GB2312" w:cs="仿宋_GB2312"/>
          <w:color w:val="000000"/>
          <w:sz w:val="32"/>
          <w:u w:val="none"/>
        </w:rPr>
        <w:t>0</w:t>
      </w:r>
      <w:r>
        <w:rPr>
          <w:rFonts w:hint="eastAsia" w:ascii="仿宋_GB2312" w:hAnsi="Times New Roman" w:eastAsia="仿宋_GB2312" w:cs="仿宋_GB2312"/>
          <w:color w:val="000000"/>
          <w:sz w:val="32"/>
          <w:u w:val="none"/>
          <w:lang w:val="en-US" w:eastAsia="zh-CN"/>
        </w:rPr>
        <w:t>75.00）</w:t>
      </w:r>
    </w:p>
    <w:p>
      <w:pPr>
        <w:keepNext w:val="0"/>
        <w:keepLines w:val="0"/>
        <w:pageBreakBefore w:val="0"/>
        <w:numPr>
          <w:ilvl w:val="0"/>
          <w:numId w:val="0"/>
        </w:numPr>
        <w:kinsoku/>
        <w:overflowPunct/>
        <w:topLinePunct w:val="0"/>
        <w:bidi w:val="0"/>
        <w:spacing w:line="440" w:lineRule="exact"/>
        <w:ind w:firstLine="640" w:firstLineChars="200"/>
        <w:rPr>
          <w:rFonts w:hint="eastAsia" w:ascii="仿宋_GB2312" w:hAnsi="仿宋_GB2312" w:eastAsia="仿宋_GB2312" w:cs="仿宋_GB2312"/>
          <w:bCs/>
          <w:color w:val="000000"/>
          <w:sz w:val="32"/>
          <w:szCs w:val="32"/>
          <w:u w:val="none"/>
          <w:lang w:val="en-US" w:eastAsia="zh-CN"/>
        </w:rPr>
      </w:pPr>
      <w:r>
        <w:rPr>
          <w:rFonts w:hint="eastAsia" w:ascii="仿宋_GB2312" w:hAnsi="仿宋_GB2312" w:eastAsia="仿宋_GB2312" w:cs="仿宋_GB2312"/>
          <w:bCs/>
          <w:color w:val="000000"/>
          <w:sz w:val="32"/>
          <w:szCs w:val="32"/>
          <w:u w:val="none"/>
          <w:lang w:val="en-US" w:eastAsia="zh-CN"/>
        </w:rPr>
        <w:t>依据《中华人民共和国行政处罚法》第六十七条的规定，当事人应当自收到行政处罚决定书之日起15日内，到（工、农、中、建）任一银行网点或者通过电子支付系统缴纳罚款。缴款码：37040325000013336247。逾期不缴纳罚款的，根据《中华人民共和国行政处罚法》第七十二条的规定，</w:t>
      </w:r>
      <w:r>
        <w:rPr>
          <w:rFonts w:hint="eastAsia" w:ascii="仿宋_GB2312" w:hAnsi="仿宋_GB2312" w:eastAsia="仿宋_GB2312" w:cs="仿宋_GB2312"/>
          <w:bCs/>
          <w:color w:val="000000"/>
          <w:sz w:val="32"/>
          <w:szCs w:val="32"/>
          <w:u w:val="none"/>
          <w:lang w:val="zh-CN" w:eastAsia="zh-CN"/>
        </w:rPr>
        <w:t>作出行政处罚决定的行政机关可以采取下列措施：</w:t>
      </w:r>
      <w:r>
        <w:rPr>
          <w:rFonts w:hint="eastAsia" w:ascii="仿宋_GB2312" w:hAnsi="仿宋_GB2312" w:eastAsia="仿宋_GB2312" w:cs="仿宋_GB2312"/>
          <w:bCs/>
          <w:color w:val="000000"/>
          <w:sz w:val="32"/>
          <w:szCs w:val="32"/>
          <w:u w:val="none"/>
          <w:lang w:val="en-US" w:eastAsia="zh-CN"/>
        </w:rPr>
        <w:t>到期不缴纳罚款的，每日按罚款数额的3%加处罚款，加处罚款的数额不得超出罚款的数额</w:t>
      </w:r>
      <w:r>
        <w:rPr>
          <w:rFonts w:hint="eastAsia" w:ascii="仿宋_GB2312" w:hAnsi="仿宋_GB2312" w:eastAsia="仿宋_GB2312" w:cs="仿宋_GB2312"/>
          <w:bCs/>
          <w:color w:val="000000"/>
          <w:sz w:val="32"/>
          <w:szCs w:val="32"/>
          <w:u w:val="none"/>
          <w:lang w:val="zh-CN" w:eastAsia="zh-CN"/>
        </w:rPr>
        <w:t>；</w:t>
      </w:r>
      <w:r>
        <w:rPr>
          <w:rFonts w:hint="eastAsia" w:ascii="仿宋_GB2312" w:hAnsi="仿宋_GB2312" w:eastAsia="仿宋_GB2312" w:cs="仿宋_GB2312"/>
          <w:bCs/>
          <w:color w:val="000000"/>
          <w:sz w:val="32"/>
          <w:szCs w:val="32"/>
          <w:u w:val="none"/>
          <w:lang w:val="en-US" w:eastAsia="zh-CN"/>
        </w:rPr>
        <w:t>并依法申请人民法院强制执行。</w:t>
      </w:r>
    </w:p>
    <w:p>
      <w:pPr>
        <w:keepNext w:val="0"/>
        <w:keepLines w:val="0"/>
        <w:pageBreakBefore w:val="0"/>
        <w:widowControl/>
        <w:kinsoku/>
        <w:wordWrap/>
        <w:overflowPunct/>
        <w:topLinePunct w:val="0"/>
        <w:autoSpaceDE w:val="0"/>
        <w:autoSpaceDN w:val="0"/>
        <w:bidi w:val="0"/>
        <w:adjustRightInd/>
        <w:snapToGrid/>
        <w:spacing w:line="440" w:lineRule="exact"/>
        <w:ind w:firstLine="640" w:firstLineChars="200"/>
        <w:jc w:val="distribute"/>
        <w:textAlignment w:val="auto"/>
        <w:rPr>
          <w:rFonts w:hint="eastAsia" w:ascii="Times New Roman" w:hAnsi="Times New Roman" w:eastAsia="仿宋_GB2312" w:cs="仿宋"/>
          <w:b w:val="0"/>
          <w:bCs/>
          <w:color w:val="auto"/>
          <w:kern w:val="2"/>
          <w:sz w:val="32"/>
          <w:szCs w:val="32"/>
          <w:u w:val="none"/>
          <w:lang w:val="en-US" w:eastAsia="zh-CN" w:bidi="ar-SA"/>
        </w:rPr>
      </w:pPr>
      <w:r>
        <w:rPr>
          <w:rFonts w:hint="eastAsia" w:ascii="Times New Roman" w:hAnsi="Times New Roman" w:eastAsia="仿宋_GB2312" w:cs="仿宋"/>
          <w:b w:val="0"/>
          <w:bCs/>
          <w:color w:val="000000"/>
          <w:kern w:val="2"/>
          <w:sz w:val="32"/>
          <w:szCs w:val="32"/>
          <w:u w:val="none"/>
          <w:lang w:val="en-US" w:eastAsia="zh-CN" w:bidi="ar-SA"/>
        </w:rPr>
        <w:t>当事人如不服本行政处罚决定，可自收到本行政处罚决定书之日起</w:t>
      </w:r>
      <w:r>
        <w:rPr>
          <w:rFonts w:hint="eastAsia" w:ascii="Times New Roman" w:eastAsia="仿宋_GB2312" w:cs="仿宋"/>
          <w:b w:val="0"/>
          <w:bCs/>
          <w:color w:val="000000"/>
          <w:kern w:val="2"/>
          <w:sz w:val="32"/>
          <w:szCs w:val="32"/>
          <w:u w:val="none"/>
          <w:lang w:val="en-US" w:eastAsia="zh-CN" w:bidi="ar-SA"/>
        </w:rPr>
        <w:t>六十日</w:t>
      </w:r>
      <w:r>
        <w:rPr>
          <w:rFonts w:hint="eastAsia" w:ascii="Times New Roman" w:hAnsi="Times New Roman" w:eastAsia="仿宋_GB2312" w:cs="仿宋"/>
          <w:b w:val="0"/>
          <w:bCs/>
          <w:color w:val="000000"/>
          <w:kern w:val="2"/>
          <w:sz w:val="32"/>
          <w:szCs w:val="32"/>
          <w:u w:val="none"/>
          <w:lang w:val="en-US" w:eastAsia="zh-CN" w:bidi="ar-SA"/>
        </w:rPr>
        <w:t>内，依法向</w:t>
      </w:r>
      <w:r>
        <w:rPr>
          <w:rFonts w:hint="eastAsia" w:ascii="Times New Roman" w:eastAsia="仿宋_GB2312" w:cs="仿宋"/>
          <w:b w:val="0"/>
          <w:bCs/>
          <w:color w:val="000000"/>
          <w:kern w:val="2"/>
          <w:sz w:val="32"/>
          <w:szCs w:val="32"/>
          <w:u w:val="none"/>
          <w:lang w:val="en-US" w:eastAsia="zh-CN" w:bidi="ar-SA"/>
        </w:rPr>
        <w:t>薛城区人民政府</w:t>
      </w:r>
      <w:r>
        <w:rPr>
          <w:rFonts w:hint="eastAsia" w:ascii="Times New Roman" w:hAnsi="Times New Roman" w:eastAsia="仿宋_GB2312" w:cs="仿宋"/>
          <w:b w:val="0"/>
          <w:bCs/>
          <w:color w:val="000000"/>
          <w:kern w:val="2"/>
          <w:sz w:val="32"/>
          <w:szCs w:val="32"/>
          <w:u w:val="none"/>
          <w:lang w:val="en-US" w:eastAsia="zh-CN" w:bidi="ar-SA"/>
        </w:rPr>
        <w:t>申请复议；也可以自收到本行政处罚决定书之日起</w:t>
      </w:r>
      <w:r>
        <w:rPr>
          <w:rFonts w:hint="eastAsia" w:ascii="Times New Roman" w:eastAsia="仿宋_GB2312" w:cs="仿宋"/>
          <w:b w:val="0"/>
          <w:bCs/>
          <w:color w:val="000000"/>
          <w:kern w:val="2"/>
          <w:sz w:val="32"/>
          <w:szCs w:val="32"/>
          <w:u w:val="none"/>
          <w:lang w:val="en-US" w:eastAsia="zh-CN" w:bidi="ar-SA"/>
        </w:rPr>
        <w:t>六个</w:t>
      </w:r>
      <w:r>
        <w:rPr>
          <w:rFonts w:hint="eastAsia" w:ascii="Times New Roman" w:hAnsi="Times New Roman" w:eastAsia="仿宋_GB2312" w:cs="仿宋"/>
          <w:b w:val="0"/>
          <w:bCs/>
          <w:color w:val="000000"/>
          <w:kern w:val="2"/>
          <w:sz w:val="32"/>
          <w:szCs w:val="32"/>
          <w:u w:val="none"/>
          <w:lang w:val="en-US" w:eastAsia="zh-CN" w:bidi="ar-SA"/>
        </w:rPr>
        <w:t>月内依法向</w:t>
      </w:r>
      <w:r>
        <w:rPr>
          <w:rFonts w:hint="eastAsia" w:ascii="Times New Roman" w:eastAsia="仿宋_GB2312" w:cs="仿宋"/>
          <w:b w:val="0"/>
          <w:bCs/>
          <w:color w:val="000000"/>
          <w:kern w:val="2"/>
          <w:sz w:val="32"/>
          <w:szCs w:val="32"/>
          <w:u w:val="none"/>
          <w:lang w:val="en-US" w:eastAsia="zh-CN" w:bidi="ar-SA"/>
        </w:rPr>
        <w:t>薛城区人民法</w:t>
      </w:r>
      <w:r>
        <w:rPr>
          <w:rFonts w:hint="eastAsia" w:ascii="Times New Roman" w:hAnsi="Times New Roman" w:eastAsia="仿宋_GB2312" w:cs="仿宋"/>
          <w:b w:val="0"/>
          <w:bCs/>
          <w:color w:val="000000"/>
          <w:kern w:val="2"/>
          <w:sz w:val="32"/>
          <w:szCs w:val="32"/>
          <w:u w:val="none"/>
          <w:lang w:val="en-US" w:eastAsia="zh-CN" w:bidi="ar-SA"/>
        </w:rPr>
        <w:t>院</w:t>
      </w:r>
      <w:r>
        <w:rPr>
          <w:rFonts w:hint="eastAsia" w:ascii="Times New Roman" w:eastAsia="仿宋_GB2312" w:cs="仿宋"/>
          <w:b w:val="0"/>
          <w:bCs/>
          <w:color w:val="000000"/>
          <w:kern w:val="2"/>
          <w:sz w:val="32"/>
          <w:szCs w:val="32"/>
          <w:u w:val="none"/>
          <w:lang w:val="en-US" w:eastAsia="zh-CN" w:bidi="ar-SA"/>
        </w:rPr>
        <w:t>等有管辖权的法院</w:t>
      </w:r>
      <w:r>
        <w:rPr>
          <w:rFonts w:hint="eastAsia" w:ascii="Times New Roman" w:hAnsi="Times New Roman" w:eastAsia="仿宋_GB2312" w:cs="仿宋"/>
          <w:b w:val="0"/>
          <w:bCs/>
          <w:color w:val="000000"/>
          <w:kern w:val="2"/>
          <w:sz w:val="32"/>
          <w:szCs w:val="32"/>
          <w:u w:val="none"/>
          <w:lang w:val="en-US" w:eastAsia="zh-CN" w:bidi="ar-SA"/>
        </w:rPr>
        <w:t>提起行政诉讼。诉讼、复议期间，本行政处罚不停止执行。(网上提交行政复议申请网址:http://124.128.58.185:9082/entrance?redirect=%2Findex)。</w:t>
      </w:r>
    </w:p>
    <w:p>
      <w:pPr>
        <w:keepNext w:val="0"/>
        <w:keepLines w:val="0"/>
        <w:pageBreakBefore w:val="0"/>
        <w:widowControl/>
        <w:kinsoku/>
        <w:overflowPunct/>
        <w:topLinePunct w:val="0"/>
        <w:bidi w:val="0"/>
        <w:snapToGrid w:val="0"/>
        <w:spacing w:line="440" w:lineRule="exact"/>
        <w:ind w:firstLine="6240" w:firstLineChars="1950"/>
        <w:jc w:val="left"/>
        <w:rPr>
          <w:rFonts w:hint="eastAsia" w:ascii="Times New Roman" w:hAnsi="Times New Roman" w:eastAsia="仿宋_GB2312" w:cs="仿宋_GB2312"/>
          <w:color w:val="auto"/>
          <w:sz w:val="32"/>
          <w:szCs w:val="32"/>
          <w:lang w:val="en-US" w:eastAsia="zh-Hans"/>
        </w:rPr>
      </w:pPr>
    </w:p>
    <w:p>
      <w:pPr>
        <w:keepNext w:val="0"/>
        <w:keepLines w:val="0"/>
        <w:pageBreakBefore w:val="0"/>
        <w:kinsoku/>
        <w:overflowPunct/>
        <w:topLinePunct w:val="0"/>
        <w:bidi w:val="0"/>
        <w:spacing w:line="440" w:lineRule="exact"/>
        <w:ind w:right="640" w:firstLine="601"/>
        <w:jc w:val="right"/>
        <w:rPr>
          <w:rFonts w:ascii="Times New Roman" w:hAnsi="Times New Roman" w:eastAsia="仿宋_GB2312" w:cs="仿宋"/>
          <w:color w:val="auto"/>
          <w:sz w:val="32"/>
          <w:szCs w:val="32"/>
        </w:rPr>
      </w:pPr>
      <w:bookmarkStart w:id="14" w:name="DYNAMIC—DWXX—tAj_dwmc—2"/>
      <w:r>
        <w:rPr>
          <w:rFonts w:hint="eastAsia" w:ascii="Times New Roman" w:hAnsi="Times New Roman" w:eastAsia="仿宋_GB2312" w:cs="仿宋"/>
          <w:color w:val="000000"/>
          <w:sz w:val="32"/>
          <w:u w:val="none"/>
          <w:lang w:val="en-US" w:eastAsia="zh-CN"/>
        </w:rPr>
        <w:t>枣庄市</w:t>
      </w:r>
      <w:r>
        <w:rPr>
          <w:rFonts w:hint="eastAsia" w:ascii="Times New Roman" w:hAnsi="Times New Roman" w:eastAsia="仿宋_GB2312" w:cs="仿宋"/>
          <w:color w:val="000000"/>
          <w:sz w:val="32"/>
          <w:u w:val="none"/>
        </w:rPr>
        <w:t>薛城区市场监督管理局</w:t>
      </w:r>
      <w:bookmarkEnd w:id="14"/>
      <w:r>
        <w:rPr>
          <w:rFonts w:hint="eastAsia" w:ascii="Times New Roman" w:hAnsi="Times New Roman" w:eastAsia="仿宋_GB2312" w:cs="仿宋"/>
          <w:color w:val="000000"/>
          <w:sz w:val="32"/>
          <w:szCs w:val="32"/>
          <w:u w:val="none"/>
        </w:rPr>
        <w:t xml:space="preserve">    </w:t>
      </w:r>
    </w:p>
    <w:p>
      <w:pPr>
        <w:keepNext w:val="0"/>
        <w:keepLines w:val="0"/>
        <w:pageBreakBefore w:val="0"/>
        <w:kinsoku/>
        <w:wordWrap w:val="0"/>
        <w:overflowPunct/>
        <w:topLinePunct w:val="0"/>
        <w:bidi w:val="0"/>
        <w:spacing w:line="440" w:lineRule="exact"/>
        <w:ind w:right="640" w:firstLine="601"/>
        <w:jc w:val="right"/>
        <w:outlineLvl w:val="1"/>
        <w:rPr>
          <w:rFonts w:hint="eastAsia" w:ascii="Times New Roman" w:hAnsi="Times New Roman" w:eastAsia="仿宋_GB2312" w:cs="仿宋"/>
          <w:color w:val="auto"/>
          <w:sz w:val="32"/>
          <w:szCs w:val="32"/>
          <w:lang w:eastAsia="zh-CN"/>
        </w:rPr>
      </w:pPr>
      <w:r>
        <w:rPr>
          <w:rFonts w:hint="eastAsia" w:ascii="Times New Roman" w:hAnsi="Times New Roman" w:eastAsia="仿宋_GB2312" w:cs="仿宋"/>
          <w:color w:val="000000"/>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630" w:rightChars="300" w:firstLine="600" w:firstLineChars="0"/>
        <w:jc w:val="center"/>
        <w:textAlignment w:val="auto"/>
        <w:outlineLvl w:val="9"/>
        <w:rPr>
          <w:rFonts w:ascii="Times New Roman" w:hAnsi="Times New Roman" w:eastAsia="仿宋_GB2312" w:cs="仿宋_GB2312"/>
          <w:color w:val="auto"/>
          <w:sz w:val="32"/>
          <w:szCs w:val="32"/>
        </w:rPr>
      </w:pPr>
      <w:bookmarkStart w:id="15" w:name="CALCULATE—TIME—NOW"/>
      <w:r>
        <w:rPr>
          <w:rFonts w:ascii="仿宋_GB2312" w:hAnsi="仿宋_GB2312" w:eastAsia="仿宋_GB2312" w:cs="仿宋_GB2312"/>
          <w:sz w:val="32"/>
        </w:rPr>
        <w:t>2025年12月05日</w:t>
      </w:r>
      <w:bookmarkEnd w:id="15"/>
      <w:r>
        <w:rPr>
          <w:rFonts w:hint="eastAsia" w:ascii="Times New Roman" w:hAnsi="Times New Roman" w:eastAsia="仿宋_GB2312" w:cs="仿宋_GB2312"/>
          <w:color w:val="000000"/>
          <w:sz w:val="32"/>
          <w:szCs w:val="32"/>
          <w:u w:val="none"/>
        </w:rPr>
        <w:t xml:space="preserve">  </w:t>
      </w:r>
    </w:p>
    <w:p>
      <w:pPr>
        <w:widowControl/>
        <w:snapToGrid w:val="0"/>
        <w:spacing w:line="520" w:lineRule="exact"/>
        <w:jc w:val="right"/>
        <w:rPr>
          <w:rFonts w:ascii="Times New Roman" w:hAnsi="Times New Roman" w:eastAsia="仿宋_GB2312" w:cs="Mongolian Baiti"/>
          <w:color w:val="auto"/>
          <w:sz w:val="32"/>
          <w:szCs w:val="32"/>
        </w:rPr>
      </w:pPr>
    </w:p>
    <w:p>
      <w:pPr>
        <w:pStyle w:val="3"/>
        <w:spacing w:before="1"/>
        <w:ind w:left="163"/>
        <w:jc w:val="center"/>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991860" cy="381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991860" cy="3810"/>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3pt;width:471.8pt;z-index:251661312;mso-width-relative:page;mso-height-relative:page;" filled="f" stroked="t" coordsize="21600,21600" o:gfxdata="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FRhevWAAAABwEAAA8AAAAAAAAAAQAgAAAAIgAAAGRycy9kb3ducmV2LnhtbFBLAQIUABQA&#10;AAAIAIdO4kCFUmQ+8gEAAN4DAAAOAAAAAAAAAAEAIAAAACUBAABkcnMvZTJvRG9jLnhtbFBLBQYA&#10;AAAABgAGAFkBAACJBQ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pPr>
        <w:spacing w:line="500" w:lineRule="exact"/>
        <w:jc w:val="center"/>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本文书一式</w:t>
      </w:r>
      <w:r>
        <w:rPr>
          <w:rFonts w:hint="eastAsia" w:ascii="Times New Roman" w:hAnsi="Times New Roman" w:eastAsia="仿宋_GB2312" w:cs="仿宋"/>
          <w:color w:val="000000"/>
          <w:sz w:val="32"/>
          <w:szCs w:val="32"/>
          <w:u w:val="none"/>
          <w:lang w:val="en-US" w:eastAsia="zh-CN"/>
        </w:rPr>
        <w:t>三</w:t>
      </w:r>
      <w:r>
        <w:rPr>
          <w:rFonts w:hint="eastAsia" w:ascii="Times New Roman" w:hAnsi="Times New Roman" w:eastAsia="仿宋_GB2312" w:cs="仿宋"/>
          <w:color w:val="000000"/>
          <w:sz w:val="32"/>
          <w:szCs w:val="32"/>
          <w:u w:val="none"/>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u w:val="none"/>
        </w:rPr>
        <w:t>份送达，一份归档，</w:t>
      </w:r>
      <w:r>
        <w:rPr>
          <w:rFonts w:hint="eastAsia" w:ascii="Times New Roman" w:hAnsi="Times New Roman" w:eastAsia="仿宋_GB2312" w:cs="仿宋"/>
          <w:color w:val="000000"/>
          <w:sz w:val="32"/>
          <w:szCs w:val="32"/>
          <w:u w:val="none"/>
          <w:lang w:val="en-US" w:eastAsia="zh-CN"/>
        </w:rPr>
        <w:t>一份办案机构留存</w:t>
      </w:r>
      <w:r>
        <w:rPr>
          <w:rFonts w:hint="eastAsia" w:ascii="Times New Roman" w:hAnsi="Times New Roman" w:eastAsia="仿宋_GB2312" w:cs="仿宋"/>
          <w:color w:val="000000"/>
          <w:sz w:val="32"/>
          <w:szCs w:val="32"/>
          <w:u w:val="none"/>
        </w:rPr>
        <w:t>。</w:t>
      </w:r>
    </w:p>
    <w:p>
      <w:pPr>
        <w:spacing w:line="500" w:lineRule="exact"/>
        <w:rPr>
          <w:color w:val="auto"/>
        </w:rPr>
      </w:pPr>
    </w:p>
    <w:sectPr>
      <w:footerReference r:id="rId3" w:type="default"/>
      <w:pgSz w:w="11906" w:h="16838"/>
      <w:pgMar w:top="1100" w:right="1236" w:bottom="1157" w:left="117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6B7729F7"/>
    <w:multiLevelType w:val="singleLevel"/>
    <w:tmpl w:val="6B7729F7"/>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MWU4N2Q4MzRkODczMzgzYTA3YWRlMDlmNWY3MTQifQ=="/>
    <w:docVar w:name="KSO_WPS_MARK_KEY" w:val="ad3abea3-8ba7-47a2-bc3f-332894d4261f"/>
  </w:docVars>
  <w:rsids>
    <w:rsidRoot w:val="5BA419F7"/>
    <w:rsid w:val="00193C35"/>
    <w:rsid w:val="0032134F"/>
    <w:rsid w:val="02B83402"/>
    <w:rsid w:val="04CD463F"/>
    <w:rsid w:val="04FA4431"/>
    <w:rsid w:val="06BAE61F"/>
    <w:rsid w:val="071C7669"/>
    <w:rsid w:val="0776795A"/>
    <w:rsid w:val="08365B64"/>
    <w:rsid w:val="0B22091D"/>
    <w:rsid w:val="0CF71776"/>
    <w:rsid w:val="103E22C5"/>
    <w:rsid w:val="1350279A"/>
    <w:rsid w:val="14203063"/>
    <w:rsid w:val="143E1E38"/>
    <w:rsid w:val="152E563E"/>
    <w:rsid w:val="15B93156"/>
    <w:rsid w:val="18325353"/>
    <w:rsid w:val="18B229B2"/>
    <w:rsid w:val="19FE4517"/>
    <w:rsid w:val="1AE345F4"/>
    <w:rsid w:val="1DA4420A"/>
    <w:rsid w:val="1F2B5D07"/>
    <w:rsid w:val="1FD31F15"/>
    <w:rsid w:val="236534A4"/>
    <w:rsid w:val="244E1F2B"/>
    <w:rsid w:val="24626694"/>
    <w:rsid w:val="258D6CE0"/>
    <w:rsid w:val="28F36126"/>
    <w:rsid w:val="2B1B3EFC"/>
    <w:rsid w:val="2CEA3815"/>
    <w:rsid w:val="2DE10173"/>
    <w:rsid w:val="2F327E79"/>
    <w:rsid w:val="2F7CE1EF"/>
    <w:rsid w:val="30DB5683"/>
    <w:rsid w:val="342602B0"/>
    <w:rsid w:val="3585615B"/>
    <w:rsid w:val="368E5656"/>
    <w:rsid w:val="377FBB27"/>
    <w:rsid w:val="37F16547"/>
    <w:rsid w:val="38B63DA7"/>
    <w:rsid w:val="3930619F"/>
    <w:rsid w:val="3A4E178D"/>
    <w:rsid w:val="3BF97ECA"/>
    <w:rsid w:val="3C2965F0"/>
    <w:rsid w:val="3F2604DF"/>
    <w:rsid w:val="3F6783E4"/>
    <w:rsid w:val="3FFF82D4"/>
    <w:rsid w:val="402E7C06"/>
    <w:rsid w:val="40FE5F8F"/>
    <w:rsid w:val="425049CE"/>
    <w:rsid w:val="4659781C"/>
    <w:rsid w:val="48C10000"/>
    <w:rsid w:val="4A256B30"/>
    <w:rsid w:val="4B8F0B22"/>
    <w:rsid w:val="4C02380F"/>
    <w:rsid w:val="4CC8271B"/>
    <w:rsid w:val="4D9306AE"/>
    <w:rsid w:val="4E8950D9"/>
    <w:rsid w:val="4F0457DF"/>
    <w:rsid w:val="547C0750"/>
    <w:rsid w:val="57503162"/>
    <w:rsid w:val="58FFDDDD"/>
    <w:rsid w:val="591F0542"/>
    <w:rsid w:val="5BA419F7"/>
    <w:rsid w:val="5BF91583"/>
    <w:rsid w:val="5BFB2E57"/>
    <w:rsid w:val="5DD7483B"/>
    <w:rsid w:val="5DEF2751"/>
    <w:rsid w:val="5E5FAB03"/>
    <w:rsid w:val="5F9FEDD5"/>
    <w:rsid w:val="5FBEF003"/>
    <w:rsid w:val="5FE33914"/>
    <w:rsid w:val="5FFA4D85"/>
    <w:rsid w:val="602422E6"/>
    <w:rsid w:val="60B635F2"/>
    <w:rsid w:val="612E7E8C"/>
    <w:rsid w:val="64E43803"/>
    <w:rsid w:val="66733921"/>
    <w:rsid w:val="69690BB2"/>
    <w:rsid w:val="6AD7030F"/>
    <w:rsid w:val="6BCC1BB9"/>
    <w:rsid w:val="6D923254"/>
    <w:rsid w:val="6E04767D"/>
    <w:rsid w:val="6E6950E9"/>
    <w:rsid w:val="6F732ABB"/>
    <w:rsid w:val="6FF58B64"/>
    <w:rsid w:val="6FF8F863"/>
    <w:rsid w:val="70CF02CA"/>
    <w:rsid w:val="71013020"/>
    <w:rsid w:val="710D7C3E"/>
    <w:rsid w:val="72676857"/>
    <w:rsid w:val="7376089F"/>
    <w:rsid w:val="75B2DA43"/>
    <w:rsid w:val="75BD90DB"/>
    <w:rsid w:val="77DF8BD4"/>
    <w:rsid w:val="77EFD5CC"/>
    <w:rsid w:val="77FFADAC"/>
    <w:rsid w:val="78C12CB6"/>
    <w:rsid w:val="7B0F6E9A"/>
    <w:rsid w:val="7BFD6076"/>
    <w:rsid w:val="7C8E43D6"/>
    <w:rsid w:val="7DA813EB"/>
    <w:rsid w:val="7DFF108F"/>
    <w:rsid w:val="7EED8AE6"/>
    <w:rsid w:val="7FEADF5C"/>
    <w:rsid w:val="8EE99ACF"/>
    <w:rsid w:val="91BF8AB9"/>
    <w:rsid w:val="9BBFDA15"/>
    <w:rsid w:val="9FF1B21D"/>
    <w:rsid w:val="A7DBF19F"/>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7FF9740"/>
    <w:rsid w:val="F9BF6AE4"/>
    <w:rsid w:val="FB57F652"/>
    <w:rsid w:val="FBBF88F6"/>
    <w:rsid w:val="FBFEBC90"/>
    <w:rsid w:val="FC8DF8C3"/>
    <w:rsid w:val="FCF69F69"/>
    <w:rsid w:val="FD7BEF22"/>
    <w:rsid w:val="FD8BB826"/>
    <w:rsid w:val="FD9199D6"/>
    <w:rsid w:val="FDAC17BA"/>
    <w:rsid w:val="FDDF4064"/>
    <w:rsid w:val="FDF46C9E"/>
    <w:rsid w:val="FDFFB06C"/>
    <w:rsid w:val="FEAFF630"/>
    <w:rsid w:val="FEDEBCAC"/>
    <w:rsid w:val="FF7F62AA"/>
    <w:rsid w:val="FFAFCFD5"/>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unhideWhenUsed/>
    <w:qFormat/>
    <w:uiPriority w:val="99"/>
    <w:pPr>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2195</Words>
  <Characters>2412</Characters>
  <Lines>0</Lines>
  <Paragraphs>0</Paragraphs>
  <TotalTime>11</TotalTime>
  <ScaleCrop>false</ScaleCrop>
  <LinksUpToDate>false</LinksUpToDate>
  <CharactersWithSpaces>2587</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2021-08-03T10:04:00Z</dcterms:created>
  <dc:creator>胖林宝宝噜啦噜～</dc:creator>
  <cp:lastModifiedBy>张超</cp:lastModifiedBy>
  <dcterms:modified xsi:type="dcterms:W3CDTF">2025-12-10T01:12:44Z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02F09EB49A524786AB2E15CEE4B77574_13</vt:lpwstr>
  </property>
</Properties>
</file>