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D263371">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薛市监处罚〔2026〕11号</w:t>
      </w:r>
      <w:bookmarkEnd w:id="2"/>
    </w:p>
    <w:p w14:paraId="01D329AB">
      <w:pPr>
        <w:keepNext w:val="0"/>
        <w:keepLines w:val="0"/>
        <w:pageBreakBefore w:val="0"/>
        <w:widowControl w:val="0"/>
        <w:kinsoku/>
        <w:wordWrap/>
        <w:overflowPunct/>
        <w:topLinePunct w:val="0"/>
        <w:autoSpaceDE/>
        <w:autoSpaceDN/>
        <w:bidi w:val="0"/>
        <w:adjustRightInd/>
        <w:snapToGrid/>
        <w:spacing w:before="315" w:beforeLines="100" w:line="46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薛城区多嘴肉蟹煲餐饮服务部</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3CFD1A68">
      <w:pPr>
        <w:keepNext w:val="0"/>
        <w:keepLines w:val="0"/>
        <w:pageBreakBefore w:val="0"/>
        <w:widowControl w:val="0"/>
        <w:kinsoku/>
        <w:wordWrap/>
        <w:overflowPunct/>
        <w:topLinePunct w:val="0"/>
        <w:autoSpaceDE/>
        <w:autoSpaceDN/>
        <w:bidi w:val="0"/>
        <w:adjustRightInd/>
        <w:snapToGrid/>
        <w:spacing w:line="460" w:lineRule="exact"/>
        <w:ind w:left="140" w:hanging="140"/>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6112D816">
      <w:pPr>
        <w:keepNext w:val="0"/>
        <w:keepLines w:val="0"/>
        <w:pageBreakBefore w:val="0"/>
        <w:widowControl w:val="0"/>
        <w:kinsoku/>
        <w:wordWrap/>
        <w:overflowPunct/>
        <w:topLinePunct w:val="0"/>
        <w:autoSpaceDE/>
        <w:autoSpaceDN/>
        <w:bidi w:val="0"/>
        <w:adjustRightInd/>
        <w:snapToGrid/>
        <w:spacing w:line="46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92370403MA3P34969U</w:t>
      </w:r>
      <w:bookmarkEnd w:id="5"/>
      <w:r>
        <w:rPr>
          <w:rFonts w:hint="eastAsia" w:ascii="Times New Roman" w:hAnsi="Times New Roman" w:eastAsia="仿宋_GB2312" w:cs="Mongolian Baiti"/>
          <w:b w:val="0"/>
          <w:bCs/>
          <w:color w:val="000000"/>
          <w:kern w:val="1"/>
          <w:sz w:val="32"/>
          <w:szCs w:val="32"/>
          <w:u w:val="none"/>
        </w:rPr>
        <w:t xml:space="preserve">                                  </w:t>
      </w:r>
    </w:p>
    <w:p w14:paraId="7EDC33E1">
      <w:pPr>
        <w:keepNext w:val="0"/>
        <w:keepLines w:val="0"/>
        <w:pageBreakBefore w:val="0"/>
        <w:widowControl w:val="0"/>
        <w:kinsoku/>
        <w:wordWrap/>
        <w:overflowPunct/>
        <w:topLinePunct w:val="0"/>
        <w:autoSpaceDE/>
        <w:autoSpaceDN/>
        <w:bidi w:val="0"/>
        <w:adjustRightInd/>
        <w:snapToGrid/>
        <w:spacing w:line="46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山东省枣庄市薛城区永兴路126号枣庄万达广场室内步行街【3F】层【3011】号</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6D06CE2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张振</w:t>
      </w:r>
      <w:bookmarkEnd w:id="7"/>
      <w:r>
        <w:rPr>
          <w:rFonts w:hint="eastAsia" w:ascii="Times New Roman" w:hAnsi="Times New Roman" w:eastAsia="仿宋_GB2312" w:cs="Mongolian Baiti"/>
          <w:b w:val="0"/>
          <w:bCs/>
          <w:color w:val="000000"/>
          <w:kern w:val="1"/>
          <w:sz w:val="32"/>
          <w:szCs w:val="32"/>
          <w:u w:val="none"/>
        </w:rPr>
        <w:t xml:space="preserve">                       </w:t>
      </w:r>
    </w:p>
    <w:p w14:paraId="29EB9176">
      <w:pPr>
        <w:keepNext w:val="0"/>
        <w:keepLines w:val="0"/>
        <w:pageBreakBefore w:val="0"/>
        <w:widowControl w:val="0"/>
        <w:kinsoku/>
        <w:wordWrap/>
        <w:overflowPunct/>
        <w:topLinePunct w:val="0"/>
        <w:autoSpaceDE/>
        <w:autoSpaceDN/>
        <w:bidi w:val="0"/>
        <w:adjustRightInd/>
        <w:snapToGrid/>
        <w:spacing w:line="46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370405</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2556</w:t>
      </w:r>
      <w:bookmarkEnd w:id="8"/>
      <w:r>
        <w:rPr>
          <w:rFonts w:hint="eastAsia" w:ascii="Times New Roman" w:hAnsi="Times New Roman" w:eastAsia="仿宋_GB2312" w:cs="Mongolian Baiti"/>
          <w:b w:val="0"/>
          <w:bCs/>
          <w:color w:val="000000"/>
          <w:kern w:val="1"/>
          <w:sz w:val="32"/>
          <w:szCs w:val="32"/>
          <w:u w:val="none"/>
        </w:rPr>
        <w:t xml:space="preserve">                                      </w:t>
      </w:r>
    </w:p>
    <w:p w14:paraId="36DA9A7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方正仿宋_GBK" w:eastAsia="仿宋_GB2312"/>
          <w:b w:val="0"/>
          <w:bCs/>
          <w:color w:val="auto"/>
          <w:u w:val="single" w:color="231F20"/>
          <w:lang w:val="en-US" w:eastAsia="zh-CN"/>
        </w:rPr>
      </w:pPr>
      <w:bookmarkStart w:id="9" w:name="CALCULATE—AYHC—tAjHc_cHcqkjlaay"/>
      <w:r>
        <w:rPr>
          <w:rFonts w:hint="eastAsia" w:ascii="仿宋_GB2312" w:hAnsi="Times New Roman" w:eastAsia="仿宋_GB2312" w:cs="仿宋_GB2312"/>
          <w:color w:val="000000"/>
          <w:sz w:val="32"/>
          <w:u w:val="none"/>
        </w:rPr>
        <w:t>2025年10月13日，薛城区市场监督管理局对当事人采购使用的姜进行食品安全监督抽检，经山东匠造检测有限公司检验，噻虫胺项目（标准值：≤0.2mg /kg，实测值：0.60mg /kg）不符合GB 2763-2021《食品安全国家标准 食品中农药最大残留限量》要求，检验结论为不合格，《检验报告》编号：No:BGZF20251014-088。2025年11月13日，我局执</w:t>
      </w:r>
      <w:r>
        <w:rPr>
          <w:rFonts w:hint="eastAsia" w:ascii="仿宋_GB2312" w:hAnsi="仿宋_GB2312" w:eastAsia="仿宋_GB2312" w:cs="仿宋_GB2312"/>
          <w:color w:val="000000"/>
          <w:sz w:val="32"/>
          <w:u w:val="none"/>
        </w:rPr>
        <w:t>法人员将《食品安全抽样检验结果通知书》、不合格《检验报告》（报告编号：BGZF20251011-088）各</w:t>
      </w:r>
      <w:r>
        <w:rPr>
          <w:rFonts w:hint="eastAsia" w:ascii="仿宋_GB2312" w:hAnsi="仿宋_GB2312" w:eastAsia="仿宋_GB2312" w:cs="仿宋_GB2312"/>
          <w:color w:val="000000"/>
          <w:sz w:val="32"/>
          <w:u w:val="none"/>
          <w:lang w:val="en-US" w:eastAsia="zh-CN"/>
        </w:rPr>
        <w:t>1</w:t>
      </w:r>
      <w:r>
        <w:rPr>
          <w:rFonts w:hint="eastAsia" w:ascii="仿宋_GB2312" w:hAnsi="仿宋_GB2312" w:eastAsia="仿宋_GB2312" w:cs="仿宋_GB2312"/>
          <w:color w:val="000000"/>
          <w:sz w:val="32"/>
          <w:u w:val="none"/>
        </w:rPr>
        <w:t>份送达当事人，该单位厨师长徐</w:t>
      </w:r>
      <w:r>
        <w:rPr>
          <w:rFonts w:hint="eastAsia" w:ascii="仿宋_GB2312" w:hAnsi="仿宋_GB2312" w:eastAsia="仿宋_GB2312" w:cs="仿宋_GB2312"/>
          <w:color w:val="000000"/>
          <w:sz w:val="32"/>
          <w:u w:val="none"/>
          <w:lang w:val="en-US" w:eastAsia="zh-CN"/>
        </w:rPr>
        <w:t>**</w:t>
      </w:r>
      <w:r>
        <w:rPr>
          <w:rFonts w:hint="eastAsia" w:ascii="仿宋_GB2312" w:hAnsi="仿宋_GB2312" w:eastAsia="仿宋_GB2312" w:cs="仿宋_GB2312"/>
          <w:color w:val="000000"/>
          <w:sz w:val="32"/>
          <w:u w:val="none"/>
        </w:rPr>
        <w:t>当场签收。执法人员在现场未发现上述不合格姜，现场询问当事人已全部</w:t>
      </w:r>
      <w:r>
        <w:rPr>
          <w:rFonts w:hint="eastAsia" w:ascii="仿宋_GB2312" w:hAnsi="仿宋_GB2312" w:eastAsia="仿宋_GB2312" w:cs="仿宋_GB2312"/>
          <w:color w:val="000000"/>
          <w:sz w:val="32"/>
          <w:u w:val="none"/>
          <w:lang w:val="en-US" w:eastAsia="zh-CN"/>
        </w:rPr>
        <w:t>使用</w:t>
      </w:r>
      <w:r>
        <w:rPr>
          <w:rFonts w:hint="eastAsia" w:ascii="仿宋_GB2312" w:hAnsi="仿宋_GB2312" w:eastAsia="仿宋_GB2312" w:cs="仿宋_GB2312"/>
          <w:color w:val="000000"/>
          <w:sz w:val="32"/>
          <w:u w:val="none"/>
          <w:lang w:eastAsia="zh-CN"/>
        </w:rPr>
        <w:t>，</w:t>
      </w:r>
      <w:r>
        <w:rPr>
          <w:rFonts w:hint="eastAsia" w:ascii="仿宋_GB2312" w:hAnsi="仿宋_GB2312" w:eastAsia="仿宋_GB2312" w:cs="仿宋_GB2312"/>
          <w:color w:val="000000"/>
          <w:sz w:val="32"/>
          <w:u w:val="none"/>
        </w:rPr>
        <w:t>当事人在法定期限内未提出复检申请。当事人的上述行为违反了《中华人民共和国食品安全法》第五十五条第一款“餐饮服务提供者应当制定并实施原料控制要求，不得采购不符合食品安全标准的食品原料。倡导餐饮服务提供者公开加工过程，公示食品原料及其来源等信息。”的规定，申请予以立案。</w:t>
      </w:r>
      <w:bookmarkEnd w:id="9"/>
      <w:bookmarkStart w:id="10" w:name="CALCULATE—QZCS—tAjqzcses_qzcsxx"/>
      <w:r>
        <w:rPr>
          <w:rFonts w:hint="eastAsia" w:ascii="仿宋_GB2312" w:hAnsi="仿宋_GB2312" w:eastAsia="仿宋_GB2312" w:cs="仿宋_GB2312"/>
          <w:color w:val="000000"/>
          <w:sz w:val="32"/>
          <w:szCs w:val="32"/>
          <w:u w:val="none"/>
          <w:lang w:val="en-US" w:eastAsia="zh-CN"/>
        </w:rPr>
        <w:t xml:space="preserve">  </w:t>
      </w:r>
      <w:bookmarkEnd w:id="10"/>
    </w:p>
    <w:p w14:paraId="24788FF5">
      <w:pPr>
        <w:keepNext w:val="0"/>
        <w:keepLines w:val="0"/>
        <w:pageBreakBefore w:val="0"/>
        <w:widowControl w:val="0"/>
        <w:kinsoku/>
        <w:overflowPunct/>
        <w:topLinePunct w:val="0"/>
        <w:bidi w:val="0"/>
        <w:snapToGrid/>
        <w:spacing w:line="460" w:lineRule="exact"/>
        <w:ind w:firstLine="640" w:firstLineChars="200"/>
        <w:textAlignment w:val="auto"/>
        <w:rPr>
          <w:rFonts w:ascii="仿宋_GB2312" w:hAnsi="Times New Roman" w:eastAsia="仿宋_GB2312" w:cs="仿宋_GB2312"/>
          <w:sz w:val="32"/>
          <w:szCs w:val="32"/>
          <w:u w:val="none"/>
        </w:rPr>
      </w:pPr>
      <w:r>
        <w:rPr>
          <w:rFonts w:hint="eastAsia" w:ascii="仿宋_GB2312" w:hAnsi="Times New Roman" w:eastAsia="仿宋_GB2312" w:cs="仿宋_GB2312"/>
          <w:color w:val="000000"/>
          <w:sz w:val="32"/>
          <w:u w:val="none"/>
        </w:rPr>
        <w:t>经查，</w:t>
      </w:r>
      <w:bookmarkStart w:id="11" w:name="CALCULATE—AJCF—tAjCfes_cAjss"/>
      <w:r>
        <w:rPr>
          <w:rFonts w:hint="eastAsia" w:ascii="仿宋_GB2312" w:hAnsi="Times New Roman" w:eastAsia="仿宋_GB2312" w:cs="仿宋_GB2312"/>
          <w:color w:val="000000"/>
          <w:sz w:val="32"/>
          <w:u w:val="none"/>
        </w:rPr>
        <w:t>2025年12月18日，办案人员对当事人进行了调查询问，形成《询问笔录》1份。当事人自述涉案抽检不合格姜是其2025年10月11日从薛城区赵家蔬菜经营店购进，共购进4kg，购进价格9元/kg，除去用掉的</w:t>
      </w:r>
      <w:r>
        <w:rPr>
          <w:rFonts w:hint="eastAsia" w:ascii="仿宋_GB2312" w:hAnsi="Times New Roman" w:eastAsia="仿宋_GB2312" w:cs="仿宋_GB2312"/>
          <w:color w:val="000000"/>
          <w:sz w:val="32"/>
          <w:u w:val="none"/>
          <w:lang w:val="en-US" w:eastAsia="zh-CN"/>
        </w:rPr>
        <w:t>0.9</w:t>
      </w:r>
      <w:r>
        <w:rPr>
          <w:rFonts w:hint="eastAsia" w:ascii="仿宋_GB2312" w:hAnsi="Times New Roman" w:eastAsia="仿宋_GB2312" w:cs="仿宋_GB2312"/>
          <w:color w:val="000000"/>
          <w:sz w:val="32"/>
          <w:u w:val="none"/>
        </w:rPr>
        <w:t>kg，以6元/kg价格销售给抽检人员3.1kg，货值共计18.6元，违法所得18.6元。案件调查期间，当事人向我局提交了供货商《营业执照》、销货清单复印件各1份。2025年12月25日，办案人员对供货商赵修栋进行询问调查，赵</w:t>
      </w:r>
      <w:r>
        <w:rPr>
          <w:rFonts w:hint="eastAsia" w:ascii="仿宋_GB2312" w:hAnsi="Times New Roman" w:eastAsia="仿宋_GB2312" w:cs="仿宋_GB2312"/>
          <w:color w:val="000000"/>
          <w:sz w:val="32"/>
          <w:u w:val="none"/>
          <w:lang w:val="en-US" w:eastAsia="zh-CN"/>
        </w:rPr>
        <w:t>**</w:t>
      </w:r>
      <w:r>
        <w:rPr>
          <w:rFonts w:hint="eastAsia" w:ascii="仿宋_GB2312" w:hAnsi="Times New Roman" w:eastAsia="仿宋_GB2312" w:cs="仿宋_GB2312"/>
          <w:color w:val="000000"/>
          <w:sz w:val="32"/>
          <w:u w:val="none"/>
        </w:rPr>
        <w:t>不认可薛城区多嘴肉蟹煲餐饮服务部采购的抽检不合格批次的姜是其所提供，故无法对上述不合格姜进行溯源。现已查明，当事人采购使用不符合食品安全标准的食品原料违法事实存在。</w:t>
      </w:r>
    </w:p>
    <w:bookmarkEnd w:id="11"/>
    <w:p w14:paraId="3E8CEEC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Times New Roman" w:eastAsia="仿宋_GB2312" w:cs="仿宋_GB2312"/>
          <w:sz w:val="32"/>
          <w:szCs w:val="32"/>
          <w:u w:val="none"/>
        </w:rPr>
      </w:pPr>
      <w:r>
        <w:rPr>
          <w:rFonts w:hint="eastAsia" w:ascii="仿宋_GB2312" w:hAnsi="仿宋_GB2312" w:eastAsia="仿宋_GB2312" w:cs="仿宋_GB2312"/>
          <w:color w:val="000000"/>
          <w:sz w:val="32"/>
          <w:szCs w:val="32"/>
          <w:u w:val="none"/>
        </w:rPr>
        <w:t>上述事实，主要有以下证据证明：</w:t>
      </w:r>
    </w:p>
    <w:p w14:paraId="02655554">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sz w:val="32"/>
          <w:szCs w:val="32"/>
          <w:u w:val="none"/>
        </w:rPr>
      </w:pPr>
      <w:bookmarkStart w:id="12" w:name="CALCULATE—ZJCL—tajCltjes_zjclxx"/>
      <w:r>
        <w:rPr>
          <w:rFonts w:hint="eastAsia" w:ascii="Times New Roman" w:hAnsi="Times New Roman" w:eastAsia="仿宋_GB2312" w:cs="仿宋_GB2312"/>
          <w:color w:val="000000"/>
          <w:sz w:val="32"/>
          <w:u w:val="none"/>
        </w:rPr>
        <w:t>　　1.当事人《营业执照》、《食品经营许可证》复印件各1份（共2页），证明当事人是能够独立承担法律责任的行政法律关系主体；</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2.当事人、被委托人身份证复印件、授权委托书各1份（共3页），证明当事人、被委托人身份信息、委托事项、委托时间；</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3.供货商《营业执照》、销货清单复印件各1份（共2页），证明</w:t>
      </w:r>
      <w:r>
        <w:rPr>
          <w:rFonts w:hint="eastAsia" w:ascii="Times New Roman" w:hAnsi="Times New Roman" w:eastAsia="仿宋_GB2312" w:cs="仿宋_GB2312"/>
          <w:color w:val="000000"/>
          <w:sz w:val="32"/>
          <w:u w:val="none"/>
          <w:lang w:val="en-US" w:eastAsia="zh-CN"/>
        </w:rPr>
        <w:t>涉案食品进货来源情况</w:t>
      </w:r>
      <w:r>
        <w:rPr>
          <w:rFonts w:hint="eastAsia" w:ascii="Times New Roman" w:hAnsi="Times New Roman" w:eastAsia="仿宋_GB2312" w:cs="仿宋_GB2312"/>
          <w:color w:val="000000"/>
          <w:sz w:val="32"/>
          <w:u w:val="none"/>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4.《现场笔录》、当事人《询问笔录》各1份（共6页），证明当事人采购不符合食品安全标准的食品原料姜的违法事实存在，及涉案食品的数量、货值金额等信息；</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5.供货商身份证、受托人身份证复印件、授权委托书各1份（共3页），证明供货商、受托人身份信息、委托事项、委托时间情况；</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6.2025年12月25日对供货商枣庄薛城区赵家蔬菜经营店的询问笔录1份（共3页），证明供货商对当事人陈述的进货来源不予认可；</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7.食品安全抽样检验抽样单（食用农产品）、食品安全抽样检验结果通知书、检验报告各2份（共7页），证明当事人采购不符合食品安全标准的食品原料姜的违法事实存在。</w:t>
      </w:r>
      <w:bookmarkEnd w:id="12"/>
    </w:p>
    <w:p w14:paraId="7995BE23">
      <w:pPr>
        <w:pStyle w:val="4"/>
        <w:keepNext w:val="0"/>
        <w:keepLines w:val="0"/>
        <w:pageBreakBefore w:val="0"/>
        <w:widowControl w:val="0"/>
        <w:tabs>
          <w:tab w:val="left" w:pos="9060"/>
        </w:tabs>
        <w:kinsoku/>
        <w:overflowPunct/>
        <w:topLinePunct w:val="0"/>
        <w:bidi w:val="0"/>
        <w:snapToGrid/>
        <w:spacing w:line="460" w:lineRule="exact"/>
        <w:textAlignment w:val="auto"/>
        <w:rPr>
          <w:rFonts w:hint="default" w:ascii="Times New Roman" w:eastAsia="仿宋_GB2312" w:cs="仿宋_GB2312"/>
          <w:b w:val="0"/>
          <w:bCs/>
          <w:color w:val="auto"/>
          <w:u w:val="none"/>
          <w:lang w:val="en-US" w:eastAsia="zh-CN"/>
        </w:rPr>
      </w:pPr>
      <w:r>
        <w:rPr>
          <w:rFonts w:hint="eastAsia" w:ascii="Times New Roman" w:eastAsia="仿宋_GB2312" w:cs="仿宋_GB2312"/>
          <w:b w:val="0"/>
          <w:bCs/>
          <w:color w:val="000000"/>
          <w:u w:val="none"/>
          <w:lang w:val="en-US" w:eastAsia="zh-CN"/>
        </w:rPr>
        <w:t xml:space="preserve">    </w:t>
      </w:r>
      <w:r>
        <w:rPr>
          <w:rFonts w:hint="eastAsia" w:ascii="仿宋_GB2312" w:hAnsi="仿宋_GB2312" w:eastAsia="仿宋_GB2312" w:cs="仿宋_GB2312"/>
          <w:color w:val="000000"/>
          <w:sz w:val="32"/>
          <w:szCs w:val="32"/>
          <w:u w:val="none"/>
        </w:rPr>
        <w:t>本局于20</w:t>
      </w:r>
      <w:r>
        <w:rPr>
          <w:rFonts w:hint="eastAsia" w:ascii="仿宋_GB2312" w:hAnsi="仿宋_GB2312" w:eastAsia="仿宋_GB2312" w:cs="仿宋_GB2312"/>
          <w:color w:val="000000"/>
          <w:sz w:val="32"/>
          <w:szCs w:val="32"/>
          <w:u w:val="none"/>
          <w:lang w:val="en-US" w:eastAsia="zh-CN"/>
        </w:rPr>
        <w:t>26</w:t>
      </w:r>
      <w:r>
        <w:rPr>
          <w:rFonts w:hint="eastAsia" w:ascii="仿宋_GB2312" w:hAnsi="仿宋_GB2312" w:eastAsia="仿宋_GB2312" w:cs="仿宋_GB2312"/>
          <w:color w:val="000000"/>
          <w:sz w:val="32"/>
          <w:szCs w:val="32"/>
          <w:u w:val="none"/>
        </w:rPr>
        <w:t>年</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月</w:t>
      </w:r>
      <w:r>
        <w:rPr>
          <w:rFonts w:hint="eastAsia" w:ascii="仿宋_GB2312" w:hAnsi="仿宋_GB2312" w:eastAsia="仿宋_GB2312" w:cs="仿宋_GB2312"/>
          <w:color w:val="000000"/>
          <w:sz w:val="32"/>
          <w:szCs w:val="32"/>
          <w:u w:val="none"/>
          <w:lang w:val="en-US" w:eastAsia="zh-CN"/>
        </w:rPr>
        <w:t>19</w:t>
      </w:r>
      <w:r>
        <w:rPr>
          <w:rFonts w:hint="eastAsia" w:ascii="仿宋_GB2312" w:hAnsi="仿宋_GB2312" w:eastAsia="仿宋_GB2312" w:cs="仿宋_GB2312"/>
          <w:color w:val="000000"/>
          <w:sz w:val="32"/>
          <w:szCs w:val="32"/>
          <w:u w:val="none"/>
        </w:rPr>
        <w:t>日下达《行政处罚告知书》</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薛市监罚告〔2026〕8号</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告知当事人拟作出行政处罚的事实、理由、依据和处罚内容，告知当事人依法享有陈述、申辩的权利。当事人</w:t>
      </w:r>
      <w:r>
        <w:rPr>
          <w:rFonts w:hint="eastAsia" w:ascii="仿宋_GB2312" w:hAnsi="仿宋_GB2312" w:eastAsia="仿宋_GB2312" w:cs="仿宋_GB2312"/>
          <w:color w:val="000000"/>
          <w:sz w:val="32"/>
          <w:szCs w:val="32"/>
          <w:u w:val="none"/>
          <w:lang w:val="en-US" w:eastAsia="zh-CN"/>
        </w:rPr>
        <w:t>于2026年1月26日</w:t>
      </w:r>
      <w:r>
        <w:rPr>
          <w:rFonts w:hint="eastAsia" w:ascii="仿宋_GB2312" w:hAnsi="仿宋_GB2312" w:eastAsia="仿宋_GB2312" w:cs="仿宋_GB2312"/>
          <w:color w:val="000000"/>
          <w:sz w:val="32"/>
          <w:szCs w:val="32"/>
          <w:u w:val="none"/>
          <w:lang w:eastAsia="zh-CN"/>
        </w:rPr>
        <w:t>提出</w:t>
      </w:r>
      <w:r>
        <w:rPr>
          <w:rFonts w:hint="eastAsia" w:ascii="仿宋_GB2312" w:hAnsi="仿宋_GB2312" w:eastAsia="仿宋_GB2312" w:cs="仿宋_GB2312"/>
          <w:color w:val="000000"/>
          <w:sz w:val="32"/>
          <w:szCs w:val="32"/>
          <w:u w:val="none"/>
        </w:rPr>
        <w:t>陈述、申辩</w:t>
      </w:r>
      <w:r>
        <w:rPr>
          <w:rFonts w:hint="eastAsia" w:ascii="仿宋_GB2312" w:hAnsi="仿宋_GB2312" w:eastAsia="仿宋_GB2312" w:cs="仿宋_GB2312"/>
          <w:color w:val="000000"/>
          <w:sz w:val="32"/>
          <w:szCs w:val="32"/>
          <w:u w:val="none"/>
          <w:lang w:eastAsia="zh-CN"/>
        </w:rPr>
        <w:t>意见，</w:t>
      </w:r>
      <w:r>
        <w:rPr>
          <w:rFonts w:hint="eastAsia" w:ascii="仿宋_GB2312" w:hAnsi="仿宋_GB2312" w:eastAsia="仿宋_GB2312" w:cs="仿宋_GB2312"/>
          <w:color w:val="000000"/>
          <w:sz w:val="32"/>
          <w:szCs w:val="32"/>
          <w:u w:val="none"/>
          <w:lang w:val="en-US" w:eastAsia="zh-CN"/>
        </w:rPr>
        <w:t>经本局案件集体讨论通过，决定对当事人在原罚款数额上降低1000.00元，决定罚款2000.00元并处没收违法所得</w:t>
      </w:r>
      <w:r>
        <w:rPr>
          <w:rFonts w:hint="eastAsia" w:ascii="仿宋_GB2312" w:hAnsi="仿宋_GB2312" w:eastAsia="仿宋_GB2312" w:cs="仿宋_GB2312"/>
          <w:color w:val="000000"/>
          <w:sz w:val="32"/>
          <w:szCs w:val="32"/>
          <w:u w:val="none"/>
          <w:lang w:eastAsia="zh-CN"/>
        </w:rPr>
        <w:t>。</w:t>
      </w:r>
    </w:p>
    <w:p w14:paraId="3A2AFC3F">
      <w:pPr>
        <w:pStyle w:val="4"/>
        <w:keepNext w:val="0"/>
        <w:keepLines w:val="0"/>
        <w:pageBreakBefore w:val="0"/>
        <w:widowControl w:val="0"/>
        <w:tabs>
          <w:tab w:val="left" w:pos="8405"/>
        </w:tabs>
        <w:kinsoku/>
        <w:overflowPunct/>
        <w:topLinePunct w:val="0"/>
        <w:bidi w:val="0"/>
        <w:snapToGrid/>
        <w:spacing w:line="460" w:lineRule="exact"/>
        <w:ind w:firstLine="640" w:firstLineChars="200"/>
        <w:textAlignment w:val="auto"/>
        <w:rPr>
          <w:rFonts w:hint="eastAsia" w:ascii="Times New Roman" w:eastAsia="仿宋_GB2312" w:cs="仿宋_GB2312"/>
          <w:b w:val="0"/>
          <w:bCs/>
          <w:color w:val="auto"/>
          <w:u w:val="single"/>
          <w:lang w:eastAsia="zh-CN"/>
        </w:rPr>
      </w:pPr>
      <w:r>
        <w:rPr>
          <w:rFonts w:hint="eastAsia" w:ascii="仿宋_GB2312" w:eastAsia="仿宋_GB2312" w:cs="Mongolian Baiti"/>
          <w:b w:val="0"/>
          <w:bCs/>
          <w:color w:val="000000"/>
          <w:kern w:val="1"/>
          <w:u w:val="none"/>
        </w:rPr>
        <w:t>本局认</w:t>
      </w:r>
      <w:r>
        <w:rPr>
          <w:rFonts w:hint="eastAsia" w:ascii="仿宋_GB2312" w:eastAsia="仿宋_GB2312" w:cs="Mongolian Baiti"/>
          <w:b w:val="0"/>
          <w:bCs/>
          <w:color w:val="000000"/>
          <w:kern w:val="1"/>
          <w:u w:val="none"/>
          <w:lang w:val="en-US" w:eastAsia="zh-CN"/>
        </w:rPr>
        <w:t>为</w:t>
      </w:r>
      <w:r>
        <w:rPr>
          <w:rFonts w:hint="eastAsia" w:ascii="仿宋_GB2312" w:eastAsia="仿宋_GB2312" w:cs="Mongolian Baiti"/>
          <w:b w:val="0"/>
          <w:bCs/>
          <w:color w:val="000000"/>
          <w:kern w:val="1"/>
          <w:u w:val="none"/>
          <w:lang w:eastAsia="zh-CN"/>
        </w:rPr>
        <w:t>，</w:t>
      </w:r>
      <w:bookmarkStart w:id="13" w:name="CALCULATE—WFFLFGXX—tAjCfes_cWfflfg—1"/>
      <w:r>
        <w:rPr>
          <w:rFonts w:hint="eastAsia" w:ascii="仿宋_GB2312" w:hAnsi="Times New Roman" w:eastAsia="仿宋_GB2312" w:cs="仿宋_GB2312"/>
          <w:color w:val="000000"/>
          <w:sz w:val="32"/>
          <w:u w:val="none"/>
          <w:lang w:val="en-US" w:eastAsia="zh-CN"/>
        </w:rPr>
        <w:t>当事人</w:t>
      </w:r>
      <w:r>
        <w:rPr>
          <w:rFonts w:hint="eastAsia" w:ascii="仿宋_GB2312" w:hAnsi="Times New Roman" w:eastAsia="仿宋_GB2312" w:cs="仿宋_GB2312"/>
          <w:color w:val="000000"/>
          <w:sz w:val="32"/>
          <w:u w:val="none"/>
          <w:lang w:eastAsia="zh-CN"/>
        </w:rPr>
        <w:t>采购</w:t>
      </w:r>
      <w:r>
        <w:rPr>
          <w:rFonts w:hint="eastAsia" w:ascii="仿宋_GB2312" w:hAnsi="Times New Roman" w:eastAsia="仿宋_GB2312" w:cs="仿宋_GB2312"/>
          <w:color w:val="000000"/>
          <w:sz w:val="32"/>
          <w:u w:val="none"/>
          <w:lang w:val="en-US" w:eastAsia="zh-CN"/>
        </w:rPr>
        <w:t>使用</w:t>
      </w:r>
      <w:r>
        <w:rPr>
          <w:rFonts w:hint="eastAsia" w:ascii="仿宋_GB2312" w:hAnsi="Times New Roman" w:eastAsia="仿宋_GB2312" w:cs="仿宋_GB2312"/>
          <w:color w:val="000000"/>
          <w:sz w:val="32"/>
          <w:u w:val="none"/>
          <w:lang w:eastAsia="zh-CN"/>
        </w:rPr>
        <w:t>不符合食品安全标准的食品原料</w:t>
      </w:r>
      <w:r>
        <w:rPr>
          <w:rFonts w:hint="eastAsia" w:ascii="仿宋_GB2312" w:hAnsi="Times New Roman" w:eastAsia="仿宋_GB2312" w:cs="仿宋_GB2312"/>
          <w:color w:val="000000"/>
          <w:sz w:val="32"/>
          <w:u w:val="none"/>
          <w:lang w:val="en-US" w:eastAsia="zh-CN"/>
        </w:rPr>
        <w:t>姜及未履行进货查验记录制度</w:t>
      </w:r>
      <w:r>
        <w:rPr>
          <w:rFonts w:hint="eastAsia" w:ascii="仿宋_GB2312" w:hAnsi="Times New Roman" w:eastAsia="仿宋_GB2312" w:cs="仿宋_GB2312"/>
          <w:color w:val="000000"/>
          <w:sz w:val="32"/>
          <w:u w:val="none"/>
          <w:lang w:eastAsia="zh-CN"/>
        </w:rPr>
        <w:t>的</w:t>
      </w:r>
      <w:r>
        <w:rPr>
          <w:rFonts w:hint="eastAsia" w:ascii="仿宋_GB2312" w:hAnsi="Times New Roman" w:eastAsia="仿宋_GB2312" w:cs="仿宋_GB2312"/>
          <w:color w:val="000000"/>
          <w:sz w:val="32"/>
          <w:u w:val="none"/>
        </w:rPr>
        <w:t>行为</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违反了</w:t>
      </w:r>
      <w:r>
        <w:rPr>
          <w:rFonts w:hint="eastAsia" w:ascii="仿宋_GB2312" w:hAnsi="Times New Roman" w:eastAsia="仿宋_GB2312" w:cs="仿宋_GB2312"/>
          <w:color w:val="000000"/>
          <w:sz w:val="32"/>
          <w:u w:val="none"/>
        </w:rPr>
        <w:t>《中华人民共和国食品安全法》第五十五条第一款</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餐饮服务提供者应当制定并实施原料控制要求，不得采购不符合食品安全标准的食品原料。倡导餐饮服务提供者公开加工过程，公示食品原料及其来源等信息。</w:t>
      </w:r>
      <w:bookmarkEnd w:id="13"/>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的规定。</w:t>
      </w:r>
      <w:r>
        <w:rPr>
          <w:rFonts w:hint="eastAsia" w:ascii="仿宋_GB2312" w:hAnsi="Times New Roman" w:eastAsia="仿宋_GB2312" w:cs="仿宋_GB2312"/>
          <w:color w:val="000000"/>
          <w:sz w:val="32"/>
          <w:szCs w:val="32"/>
          <w:u w:val="none"/>
        </w:rPr>
        <w:t xml:space="preserve">     </w:t>
      </w:r>
    </w:p>
    <w:p w14:paraId="326A4FED">
      <w:pPr>
        <w:pStyle w:val="4"/>
        <w:keepNext w:val="0"/>
        <w:keepLines w:val="0"/>
        <w:pageBreakBefore w:val="0"/>
        <w:widowControl w:val="0"/>
        <w:kinsoku/>
        <w:overflowPunct/>
        <w:topLinePunct w:val="0"/>
        <w:bidi w:val="0"/>
        <w:snapToGrid/>
        <w:spacing w:line="460" w:lineRule="exact"/>
        <w:ind w:firstLine="640" w:firstLineChars="200"/>
        <w:textAlignment w:val="auto"/>
        <w:rPr>
          <w:rFonts w:ascii="Droid Sans Fallback"/>
          <w:b w:val="0"/>
          <w:bCs/>
          <w:color w:val="auto"/>
          <w:sz w:val="23"/>
        </w:rPr>
      </w:pPr>
      <w:bookmarkStart w:id="14" w:name="CALCULATE—AJCF—tAjCfes_cZyclsshly"/>
      <w:r>
        <w:rPr>
          <w:rFonts w:hint="eastAsia" w:ascii="Times New Roman" w:hAnsi="Times New Roman" w:eastAsia="仿宋_GB2312" w:cs="仿宋_GB2312"/>
          <w:color w:val="000000"/>
          <w:sz w:val="32"/>
          <w:u w:val="none"/>
        </w:rPr>
        <w:t>鉴于当事人能够积极配合调查，如实陈述违法事实并提供有关证据资料，其行为符合《山东省市场监督管理行政处罚裁量权适用规则》第十二条第（三）项：“当事人有下列情形之一，可以依法从轻或者减轻处罚：（三）积极配合市场监管部门调查并主动提供证据材料的。”关于减轻处罚的规定。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之规定，对当事人予以减轻处罚。</w:t>
      </w:r>
      <w:bookmarkEnd w:id="14"/>
      <w:r>
        <w:rPr>
          <w:rFonts w:hint="eastAsia" w:ascii="Times New Roman" w:hAnsi="Times New Roman" w:eastAsia="仿宋_GB2312" w:cs="仿宋_GB2312"/>
          <w:bCs/>
          <w:color w:val="000000"/>
          <w:sz w:val="32"/>
          <w:szCs w:val="32"/>
          <w:u w:val="none"/>
        </w:rPr>
        <w:t xml:space="preserve">  </w:t>
      </w:r>
    </w:p>
    <w:p w14:paraId="3B05A53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仿宋_GB2312"/>
          <w:sz w:val="32"/>
          <w:u w:val="none"/>
        </w:rPr>
      </w:pPr>
      <w:bookmarkStart w:id="15" w:name="CALCULATE—WFFLFGXX—tAjCfes_cWfflfg"/>
      <w:r>
        <w:rPr>
          <w:rFonts w:hint="eastAsia" w:ascii="Times New Roman" w:hAnsi="仿宋_GB2312" w:eastAsia="仿宋_GB2312" w:cs="仿宋_GB2312"/>
          <w:bCs/>
          <w:color w:val="000000"/>
          <w:sz w:val="32"/>
          <w:szCs w:val="32"/>
          <w:u w:val="none"/>
          <w:lang w:val="en-US" w:eastAsia="zh-CN"/>
        </w:rPr>
        <w:t>当事人采购使用不符合食品安全标准的食品原料姜的行为，依据</w:t>
      </w:r>
      <w:bookmarkEnd w:id="15"/>
      <w:bookmarkStart w:id="16" w:name="CALCULATE—WFFLFGXX—tAjCfes_cCfyj"/>
      <w:r>
        <w:rPr>
          <w:rFonts w:hint="eastAsia" w:ascii="仿宋_GB2312" w:hAnsi="Times New Roman" w:eastAsia="仿宋_GB2312" w:cs="仿宋_GB2312"/>
          <w:color w:val="000000"/>
          <w:sz w:val="32"/>
          <w:u w:val="none"/>
        </w:rPr>
        <w:t>《中华人民共和国食品安全法》第一百二十五条第一款第四项</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w:t>
      </w:r>
      <w:r>
        <w:rPr>
          <w:rFonts w:hint="eastAsia" w:ascii="仿宋_GB2312" w:hAnsi="Times New Roman" w:eastAsia="仿宋_GB2312" w:cs="仿宋_GB2312"/>
          <w:color w:val="000000"/>
          <w:sz w:val="32"/>
          <w:u w:val="none"/>
          <w:lang w:eastAsia="zh-CN"/>
        </w:rPr>
        <w:t>”</w:t>
      </w:r>
      <w:r>
        <w:rPr>
          <w:rFonts w:hint="eastAsia" w:ascii="Times New Roman" w:hAnsi="仿宋_GB2312" w:eastAsia="仿宋_GB2312" w:cs="仿宋_GB2312"/>
          <w:bCs/>
          <w:color w:val="000000"/>
          <w:sz w:val="32"/>
          <w:szCs w:val="32"/>
          <w:u w:val="none"/>
          <w:lang w:val="en-US" w:eastAsia="zh-CN"/>
        </w:rPr>
        <w:t>的规定进行处罚，决定罚款2000.00元。</w:t>
      </w:r>
    </w:p>
    <w:p w14:paraId="1576D4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仿宋_GB2312"/>
          <w:sz w:val="32"/>
          <w:szCs w:val="32"/>
          <w:u w:val="none"/>
        </w:rPr>
      </w:pPr>
      <w:r>
        <w:rPr>
          <w:rFonts w:hint="eastAsia" w:ascii="Times New Roman" w:hAnsi="仿宋_GB2312" w:eastAsia="仿宋_GB2312" w:cs="仿宋_GB2312"/>
          <w:bCs/>
          <w:color w:val="000000"/>
          <w:sz w:val="32"/>
          <w:szCs w:val="32"/>
          <w:u w:val="none"/>
          <w:lang w:val="en-US" w:eastAsia="zh-CN"/>
        </w:rPr>
        <w:t>当事人未履行进货查验记录制度的行为，依据</w:t>
      </w:r>
      <w:r>
        <w:rPr>
          <w:rFonts w:hint="eastAsia" w:ascii="仿宋_GB2312" w:hAnsi="Times New Roman" w:eastAsia="仿宋_GB2312" w:cs="仿宋_GB2312"/>
          <w:color w:val="000000"/>
          <w:sz w:val="32"/>
          <w:u w:val="none"/>
        </w:rPr>
        <w:t>《中华人民共和国食品安全法》第一百二十六条第一款第三项</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bookmarkEnd w:id="16"/>
      <w:r>
        <w:rPr>
          <w:rFonts w:hint="eastAsia" w:ascii="仿宋_GB2312" w:hAnsi="Times New Roman" w:eastAsia="仿宋_GB2312" w:cs="仿宋_GB2312"/>
          <w:color w:val="000000"/>
          <w:sz w:val="32"/>
          <w:u w:val="none"/>
          <w:lang w:eastAsia="zh-CN"/>
        </w:rPr>
        <w:t>”</w:t>
      </w:r>
      <w:r>
        <w:rPr>
          <w:rFonts w:hint="eastAsia" w:ascii="Times New Roman" w:hAnsi="仿宋_GB2312" w:eastAsia="仿宋_GB2312" w:cs="仿宋_GB2312"/>
          <w:bCs/>
          <w:color w:val="000000"/>
          <w:sz w:val="32"/>
          <w:szCs w:val="32"/>
          <w:u w:val="none"/>
          <w:lang w:val="en-US" w:eastAsia="zh-CN"/>
        </w:rPr>
        <w:t>的规定进行处罚，</w:t>
      </w:r>
      <w:r>
        <w:rPr>
          <w:rFonts w:hint="eastAsia" w:ascii="仿宋_GB2312" w:hAnsi="Times New Roman" w:eastAsia="仿宋_GB2312" w:cs="仿宋_GB2312"/>
          <w:color w:val="000000"/>
          <w:sz w:val="32"/>
          <w:u w:val="none"/>
        </w:rPr>
        <w:t>责令</w:t>
      </w:r>
      <w:r>
        <w:rPr>
          <w:rFonts w:hint="eastAsia" w:ascii="仿宋_GB2312" w:hAnsi="Times New Roman" w:eastAsia="仿宋_GB2312" w:cs="仿宋_GB2312"/>
          <w:color w:val="000000"/>
          <w:sz w:val="32"/>
          <w:u w:val="none"/>
          <w:lang w:val="en-US" w:eastAsia="zh-CN"/>
        </w:rPr>
        <w:t>当事人</w:t>
      </w:r>
      <w:r>
        <w:rPr>
          <w:rFonts w:hint="eastAsia" w:ascii="仿宋_GB2312" w:hAnsi="Times New Roman" w:eastAsia="仿宋_GB2312" w:cs="仿宋_GB2312"/>
          <w:color w:val="000000"/>
          <w:sz w:val="32"/>
          <w:u w:val="none"/>
        </w:rPr>
        <w:t>改正</w:t>
      </w:r>
      <w:r>
        <w:rPr>
          <w:rFonts w:hint="eastAsia" w:ascii="仿宋_GB2312" w:hAnsi="Times New Roman" w:eastAsia="仿宋_GB2312" w:cs="仿宋_GB2312"/>
          <w:color w:val="000000"/>
          <w:sz w:val="32"/>
          <w:u w:val="none"/>
          <w:lang w:eastAsia="zh-CN"/>
        </w:rPr>
        <w:t>，</w:t>
      </w:r>
      <w:r>
        <w:rPr>
          <w:rFonts w:hint="eastAsia" w:ascii="Times New Roman" w:hAnsi="仿宋_GB2312" w:eastAsia="仿宋_GB2312" w:cs="仿宋_GB2312"/>
          <w:bCs/>
          <w:color w:val="000000"/>
          <w:sz w:val="32"/>
          <w:szCs w:val="32"/>
          <w:u w:val="none"/>
          <w:lang w:val="en-US" w:eastAsia="zh-CN"/>
        </w:rPr>
        <w:t>给予警告。</w:t>
      </w:r>
      <w:r>
        <w:rPr>
          <w:rFonts w:hint="eastAsia" w:ascii="仿宋_GB2312" w:hAnsi="Times New Roman" w:eastAsia="仿宋_GB2312" w:cs="仿宋_GB2312"/>
          <w:color w:val="000000"/>
          <w:sz w:val="32"/>
          <w:szCs w:val="32"/>
          <w:u w:val="none"/>
        </w:rPr>
        <w:t xml:space="preserve"> </w:t>
      </w:r>
    </w:p>
    <w:p w14:paraId="05005D9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仿宋_GB2312"/>
          <w:sz w:val="32"/>
          <w:szCs w:val="32"/>
          <w:u w:val="none"/>
        </w:rPr>
      </w:pPr>
      <w:r>
        <w:rPr>
          <w:rFonts w:hint="eastAsia" w:ascii="Times New Roman" w:hAnsi="仿宋_GB2312" w:eastAsia="仿宋_GB2312" w:cs="仿宋_GB2312"/>
          <w:bCs/>
          <w:color w:val="000000"/>
          <w:sz w:val="32"/>
          <w:szCs w:val="32"/>
          <w:u w:val="none"/>
          <w:lang w:val="en-US" w:eastAsia="zh-CN"/>
        </w:rPr>
        <w:t>综上，依据</w:t>
      </w:r>
      <w:r>
        <w:rPr>
          <w:rFonts w:hint="eastAsia" w:ascii="Times New Roman" w:hAnsi="仿宋_GB2312" w:eastAsia="仿宋_GB2312" w:cs="仿宋_GB2312"/>
          <w:bCs/>
          <w:color w:val="000000"/>
          <w:sz w:val="32"/>
          <w:szCs w:val="32"/>
          <w:u w:val="none"/>
        </w:rPr>
        <w:t>《中华人民共和国食品安全法》第一百二十</w:t>
      </w:r>
      <w:r>
        <w:rPr>
          <w:rFonts w:hint="eastAsia" w:ascii="Times New Roman" w:hAnsi="仿宋_GB2312" w:eastAsia="仿宋_GB2312" w:cs="仿宋_GB2312"/>
          <w:bCs/>
          <w:color w:val="000000"/>
          <w:sz w:val="32"/>
          <w:szCs w:val="32"/>
          <w:u w:val="none"/>
          <w:lang w:eastAsia="zh-CN"/>
        </w:rPr>
        <w:t>五</w:t>
      </w:r>
      <w:r>
        <w:rPr>
          <w:rFonts w:hint="eastAsia" w:ascii="Times New Roman" w:hAnsi="仿宋_GB2312" w:eastAsia="仿宋_GB2312" w:cs="仿宋_GB2312"/>
          <w:bCs/>
          <w:color w:val="000000"/>
          <w:sz w:val="32"/>
          <w:szCs w:val="32"/>
          <w:u w:val="none"/>
        </w:rPr>
        <w:t>条第一款第（</w:t>
      </w:r>
      <w:r>
        <w:rPr>
          <w:rFonts w:hint="eastAsia" w:ascii="Times New Roman" w:hAnsi="仿宋_GB2312" w:eastAsia="仿宋_GB2312" w:cs="仿宋_GB2312"/>
          <w:bCs/>
          <w:color w:val="000000"/>
          <w:sz w:val="32"/>
          <w:szCs w:val="32"/>
          <w:u w:val="none"/>
          <w:lang w:eastAsia="zh-CN"/>
        </w:rPr>
        <w:t>四</w:t>
      </w:r>
      <w:r>
        <w:rPr>
          <w:rFonts w:hint="eastAsia" w:ascii="Times New Roman" w:hAnsi="仿宋_GB2312" w:eastAsia="仿宋_GB2312" w:cs="仿宋_GB2312"/>
          <w:bCs/>
          <w:color w:val="000000"/>
          <w:sz w:val="32"/>
          <w:szCs w:val="32"/>
          <w:u w:val="none"/>
        </w:rPr>
        <w:t>）项</w:t>
      </w:r>
      <w:r>
        <w:rPr>
          <w:rFonts w:hint="eastAsia" w:ascii="Times New Roman" w:hAnsi="仿宋_GB2312" w:eastAsia="仿宋_GB2312" w:cs="仿宋_GB2312"/>
          <w:bCs/>
          <w:color w:val="000000"/>
          <w:sz w:val="32"/>
          <w:szCs w:val="32"/>
          <w:u w:val="none"/>
          <w:lang w:eastAsia="zh-CN"/>
        </w:rPr>
        <w:t>、</w:t>
      </w:r>
      <w:r>
        <w:rPr>
          <w:rFonts w:hint="eastAsia" w:ascii="Times New Roman" w:hAnsi="仿宋_GB2312" w:eastAsia="仿宋_GB2312" w:cs="仿宋_GB2312"/>
          <w:bCs/>
          <w:color w:val="000000"/>
          <w:sz w:val="32"/>
          <w:szCs w:val="32"/>
          <w:u w:val="none"/>
          <w:lang w:val="en-US" w:eastAsia="zh-CN"/>
        </w:rPr>
        <w:t>第一百二十六条第一款第（三）项</w:t>
      </w:r>
      <w:r>
        <w:rPr>
          <w:rFonts w:hint="eastAsia" w:ascii="Times New Roman" w:hAnsi="仿宋_GB2312" w:eastAsia="仿宋_GB2312" w:cs="仿宋_GB2312"/>
          <w:bCs/>
          <w:color w:val="000000"/>
          <w:sz w:val="32"/>
          <w:szCs w:val="32"/>
          <w:u w:val="none"/>
        </w:rPr>
        <w:t>以及</w:t>
      </w:r>
      <w:r>
        <w:rPr>
          <w:rFonts w:hint="eastAsia" w:ascii="Times New Roman" w:hAnsi="仿宋_GB2312" w:eastAsia="仿宋_GB2312" w:cs="仿宋_GB2312"/>
          <w:bCs/>
          <w:color w:val="000000"/>
          <w:sz w:val="32"/>
          <w:szCs w:val="32"/>
          <w:u w:val="none"/>
          <w:lang w:val="en-US" w:eastAsia="zh-CN"/>
        </w:rPr>
        <w:t>《中华人民共和国行政处罚法》第二十八条第一款“行政机关实施行政处罚时，应当责令当事人改正或者限期改正违法行为”的规定，责令当事人立即改正违法行为，经本局案件集体讨论通过，决定给予当事人以下行政处罚</w:t>
      </w:r>
      <w:r>
        <w:rPr>
          <w:rFonts w:hint="eastAsia" w:ascii="Times New Roman" w:hAnsi="仿宋_GB2312" w:eastAsia="仿宋_GB2312" w:cs="仿宋_GB2312"/>
          <w:bCs/>
          <w:color w:val="000000"/>
          <w:sz w:val="32"/>
          <w:szCs w:val="32"/>
          <w:u w:val="none"/>
          <w:lang w:eastAsia="zh-CN"/>
        </w:rPr>
        <w:t>（</w:t>
      </w:r>
      <w:r>
        <w:rPr>
          <w:rFonts w:hint="eastAsia" w:ascii="Times New Roman" w:hAnsi="仿宋_GB2312" w:eastAsia="仿宋_GB2312" w:cs="仿宋_GB2312"/>
          <w:bCs/>
          <w:color w:val="000000"/>
          <w:sz w:val="32"/>
          <w:szCs w:val="32"/>
          <w:u w:val="none"/>
          <w:lang w:val="en-US" w:eastAsia="zh-CN"/>
        </w:rPr>
        <w:t>减轻</w:t>
      </w:r>
      <w:r>
        <w:rPr>
          <w:rFonts w:hint="eastAsia" w:ascii="Times New Roman" w:hAnsi="仿宋_GB2312" w:eastAsia="仿宋_GB2312" w:cs="仿宋_GB2312"/>
          <w:bCs/>
          <w:color w:val="000000"/>
          <w:sz w:val="32"/>
          <w:szCs w:val="32"/>
          <w:u w:val="none"/>
          <w:lang w:eastAsia="zh-CN"/>
        </w:rPr>
        <w:t>）</w:t>
      </w:r>
      <w:r>
        <w:rPr>
          <w:rFonts w:hint="eastAsia" w:ascii="Times New Roman" w:hAnsi="仿宋_GB2312" w:eastAsia="仿宋_GB2312" w:cs="仿宋_GB2312"/>
          <w:bCs/>
          <w:color w:val="000000"/>
          <w:sz w:val="32"/>
          <w:szCs w:val="32"/>
          <w:u w:val="none"/>
        </w:rPr>
        <w:t>：</w:t>
      </w:r>
    </w:p>
    <w:p w14:paraId="43686298">
      <w:pPr>
        <w:pStyle w:val="4"/>
        <w:keepNext w:val="0"/>
        <w:keepLines w:val="0"/>
        <w:pageBreakBefore w:val="0"/>
        <w:widowControl w:val="0"/>
        <w:tabs>
          <w:tab w:val="left" w:pos="9060"/>
        </w:tabs>
        <w:kinsoku/>
        <w:overflowPunct/>
        <w:topLinePunct w:val="0"/>
        <w:bidi w:val="0"/>
        <w:snapToGrid/>
        <w:spacing w:line="460" w:lineRule="exact"/>
        <w:ind w:left="638" w:leftChars="304" w:firstLine="0" w:firstLineChars="0"/>
        <w:textAlignment w:val="auto"/>
        <w:rPr>
          <w:rFonts w:ascii="Times New Roman" w:eastAsia="仿宋_GB2312" w:cs="仿宋_GB2312"/>
          <w:b w:val="0"/>
          <w:bCs/>
          <w:color w:val="auto"/>
          <w:u w:val="single"/>
        </w:rPr>
      </w:pPr>
      <w:bookmarkStart w:id="17" w:name="CALCULATE—AJCF—tAjCfes_cXzcfnr"/>
      <w:r>
        <w:rPr>
          <w:rFonts w:hint="eastAsia" w:ascii="仿宋_GB2312" w:hAnsi="Times New Roman" w:eastAsia="仿宋_GB2312" w:cs="仿宋_GB2312"/>
          <w:color w:val="000000"/>
          <w:sz w:val="32"/>
          <w:u w:val="none"/>
          <w:lang w:val="en-US" w:eastAsia="zh-CN"/>
        </w:rPr>
        <w:t>1.</w:t>
      </w:r>
      <w:r>
        <w:rPr>
          <w:rFonts w:hint="eastAsia" w:ascii="仿宋_GB2312" w:hAnsi="Times New Roman" w:eastAsia="仿宋_GB2312" w:cs="仿宋_GB2312"/>
          <w:color w:val="000000"/>
          <w:sz w:val="32"/>
          <w:u w:val="none"/>
        </w:rPr>
        <w:t>警告；</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rPr>
        <w:t>2.没收违法所得壹拾捌元陆角整（¥18.6）</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rPr>
        <w:t>3.罚款</w:t>
      </w:r>
      <w:r>
        <w:rPr>
          <w:rFonts w:hint="eastAsia" w:ascii="仿宋_GB2312" w:hAnsi="Times New Roman" w:eastAsia="仿宋_GB2312" w:cs="仿宋_GB2312"/>
          <w:color w:val="000000"/>
          <w:sz w:val="32"/>
          <w:u w:val="none"/>
          <w:lang w:val="en-US" w:eastAsia="zh-CN"/>
        </w:rPr>
        <w:t>贰</w:t>
      </w:r>
      <w:r>
        <w:rPr>
          <w:rFonts w:hint="eastAsia" w:ascii="仿宋_GB2312" w:hAnsi="Times New Roman" w:eastAsia="仿宋_GB2312" w:cs="仿宋_GB2312"/>
          <w:color w:val="000000"/>
          <w:sz w:val="32"/>
          <w:u w:val="none"/>
        </w:rPr>
        <w:t>仟元整（¥</w:t>
      </w:r>
      <w:r>
        <w:rPr>
          <w:rFonts w:hint="eastAsia" w:ascii="仿宋_GB2312" w:hAnsi="Times New Roman" w:eastAsia="仿宋_GB2312" w:cs="仿宋_GB2312"/>
          <w:color w:val="000000"/>
          <w:sz w:val="32"/>
          <w:u w:val="none"/>
          <w:lang w:val="en-US" w:eastAsia="zh-CN"/>
        </w:rPr>
        <w:t>2</w:t>
      </w:r>
      <w:r>
        <w:rPr>
          <w:rFonts w:hint="eastAsia" w:ascii="仿宋_GB2312" w:hAnsi="Times New Roman" w:eastAsia="仿宋_GB2312" w:cs="仿宋_GB2312"/>
          <w:color w:val="000000"/>
          <w:sz w:val="32"/>
          <w:u w:val="none"/>
        </w:rPr>
        <w:t>000.00）；</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rPr>
        <w:t>上述罚没款合计</w:t>
      </w:r>
      <w:r>
        <w:rPr>
          <w:rFonts w:hint="eastAsia" w:ascii="仿宋_GB2312" w:hAnsi="Times New Roman" w:eastAsia="仿宋_GB2312" w:cs="仿宋_GB2312"/>
          <w:color w:val="000000"/>
          <w:sz w:val="32"/>
          <w:u w:val="none"/>
          <w:lang w:val="en-US" w:eastAsia="zh-CN"/>
        </w:rPr>
        <w:t>贰</w:t>
      </w:r>
      <w:r>
        <w:rPr>
          <w:rFonts w:hint="eastAsia" w:ascii="仿宋_GB2312" w:hAnsi="Times New Roman" w:eastAsia="仿宋_GB2312" w:cs="仿宋_GB2312"/>
          <w:color w:val="000000"/>
          <w:sz w:val="32"/>
          <w:u w:val="none"/>
        </w:rPr>
        <w:t>仟零壹拾捌元陆角整（¥</w:t>
      </w:r>
      <w:r>
        <w:rPr>
          <w:rFonts w:hint="eastAsia" w:ascii="仿宋_GB2312" w:hAnsi="Times New Roman" w:eastAsia="仿宋_GB2312" w:cs="仿宋_GB2312"/>
          <w:color w:val="000000"/>
          <w:sz w:val="32"/>
          <w:u w:val="none"/>
          <w:lang w:val="en-US" w:eastAsia="zh-CN"/>
        </w:rPr>
        <w:t>2</w:t>
      </w:r>
      <w:r>
        <w:rPr>
          <w:rFonts w:hint="eastAsia" w:ascii="仿宋_GB2312" w:hAnsi="Times New Roman" w:eastAsia="仿宋_GB2312" w:cs="仿宋_GB2312"/>
          <w:color w:val="000000"/>
          <w:sz w:val="32"/>
          <w:u w:val="none"/>
        </w:rPr>
        <w:t>018.6）。</w:t>
      </w:r>
      <w:bookmarkEnd w:id="17"/>
    </w:p>
    <w:p w14:paraId="7B8B1FC9">
      <w:pPr>
        <w:pStyle w:val="4"/>
        <w:keepNext w:val="0"/>
        <w:keepLines w:val="0"/>
        <w:pageBreakBefore w:val="0"/>
        <w:widowControl w:val="0"/>
        <w:tabs>
          <w:tab w:val="left" w:pos="9060"/>
        </w:tabs>
        <w:kinsoku/>
        <w:overflowPunct/>
        <w:topLinePunct w:val="0"/>
        <w:autoSpaceDE w:val="0"/>
        <w:autoSpaceDN w:val="0"/>
        <w:bidi w:val="0"/>
        <w:adjustRightInd w:val="0"/>
        <w:snapToGrid/>
        <w:spacing w:line="460" w:lineRule="exact"/>
        <w:ind w:firstLine="627" w:firstLineChars="196"/>
        <w:textAlignment w:val="auto"/>
        <w:rPr>
          <w:rFonts w:hint="eastAsia" w:ascii="仿宋_GB2312" w:hAnsi="仿宋_GB2312" w:eastAsia="仿宋_GB2312" w:cs="仿宋_GB2312"/>
          <w:b w:val="0"/>
          <w:bCs/>
          <w:color w:val="auto"/>
          <w:sz w:val="32"/>
          <w:szCs w:val="32"/>
          <w:u w:val="single"/>
        </w:rPr>
      </w:pPr>
      <w:r>
        <w:rPr>
          <w:rFonts w:hint="eastAsia" w:ascii="仿宋" w:hAnsi="仿宋" w:eastAsia="仿宋" w:cs="仿宋"/>
          <w:color w:val="000000"/>
          <w:spacing w:val="0"/>
          <w:w w:val="10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bookmarkStart w:id="20" w:name="_GoBack"/>
      <w:bookmarkEnd w:id="20"/>
      <w:r>
        <w:rPr>
          <w:rFonts w:hint="eastAsia" w:ascii="仿宋" w:hAnsi="仿宋" w:eastAsia="仿宋" w:cs="仿宋"/>
          <w:color w:val="000000"/>
          <w:spacing w:val="0"/>
          <w:w w:val="100"/>
          <w:sz w:val="32"/>
          <w:szCs w:val="32"/>
          <w:u w:val="none"/>
          <w:lang w:val="en-US" w:eastAsia="zh-CN"/>
        </w:rPr>
        <w:t>。</w:t>
      </w:r>
      <w:r>
        <w:rPr>
          <w:rFonts w:hint="eastAsia" w:ascii="仿宋_GB2312" w:hAnsi="仿宋_GB2312" w:eastAsia="仿宋_GB2312" w:cs="仿宋_GB2312"/>
          <w:b w:val="0"/>
          <w:bCs/>
          <w:color w:val="000000"/>
          <w:kern w:val="2"/>
          <w:sz w:val="32"/>
          <w:szCs w:val="32"/>
          <w:u w:val="none" w:color="auto"/>
          <w:lang w:val="en-US" w:eastAsia="zh-CN" w:bidi="ar-SA"/>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231F20"/>
        </w:rPr>
        <w:t xml:space="preserve">         </w:t>
      </w:r>
      <w:r>
        <w:rPr>
          <w:rFonts w:hint="eastAsia" w:ascii="仿宋_GB2312" w:hAnsi="仿宋_GB2312" w:eastAsia="仿宋_GB2312" w:cs="仿宋_GB2312"/>
          <w:b w:val="0"/>
          <w:bCs/>
          <w:color w:val="000000"/>
          <w:sz w:val="32"/>
          <w:szCs w:val="32"/>
          <w:u w:val="none"/>
        </w:rPr>
        <w:t xml:space="preserve">                           </w:t>
      </w:r>
    </w:p>
    <w:p w14:paraId="254073D8">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46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仿宋_GB2312" w:hAnsi="仿宋_GB2312" w:eastAsia="仿宋_GB2312" w:cs="仿宋_GB2312"/>
          <w:color w:val="000000"/>
          <w:sz w:val="32"/>
          <w:szCs w:val="32"/>
          <w:u w:val="none"/>
          <w:lang w:val="en-US" w:eastAsia="zh-CN"/>
        </w:rPr>
        <w:t>当事人如不服本行政处罚决定，可自收到本行政处罚决定书之日起六十日内，依法向薛城区人民政府申请复议；也可以自收到本行政处罚决定书之日起6个月内依法向薛城区人民法院等有管辖权的法院提起行政诉讼。诉讼、复议期间，本行政处罚不停止执行。</w:t>
      </w:r>
      <w:r>
        <w:rPr>
          <w:rFonts w:hint="eastAsia" w:ascii="仿宋_GB2312" w:hAnsi="仿宋_GB2312" w:eastAsia="仿宋_GB2312" w:cs="仿宋_GB2312"/>
          <w:b w:val="0"/>
          <w:bCs/>
          <w:color w:val="000000"/>
          <w:kern w:val="2"/>
          <w:sz w:val="32"/>
          <w:szCs w:val="32"/>
          <w:u w:val="none"/>
          <w:lang w:val="en-US" w:eastAsia="zh-CN" w:bidi="ar-SA"/>
        </w:rPr>
        <w:t>(网上提交行政复议申请网址:http://124.128.58.185:9082/entrance?redirect=%2Findex)。</w:t>
      </w:r>
    </w:p>
    <w:p w14:paraId="57AB4C03">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460" w:lineRule="exact"/>
        <w:ind w:firstLine="640" w:firstLineChars="200"/>
        <w:textAlignment w:val="auto"/>
        <w:rPr>
          <w:rFonts w:hint="default" w:ascii="Times New Roman" w:eastAsia="仿宋_GB2312" w:cs="仿宋_GB2312"/>
          <w:b w:val="0"/>
          <w:bCs/>
          <w:color w:val="auto"/>
          <w:u w:val="single"/>
          <w:lang w:val="en-US" w:eastAsia="zh-CN"/>
        </w:rPr>
      </w:pPr>
    </w:p>
    <w:p w14:paraId="177A686F">
      <w:pPr>
        <w:widowControl/>
        <w:snapToGrid w:val="0"/>
        <w:spacing w:line="520" w:lineRule="exact"/>
        <w:jc w:val="left"/>
        <w:rPr>
          <w:rFonts w:ascii="Times New Roman" w:hAnsi="Times New Roman" w:eastAsia="仿宋_GB2312" w:cs="仿宋_GB2312"/>
          <w:color w:val="auto"/>
          <w:sz w:val="32"/>
          <w:szCs w:val="32"/>
        </w:rPr>
      </w:pPr>
    </w:p>
    <w:p w14:paraId="7C6168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spacing w:line="560" w:lineRule="exact"/>
        <w:ind w:right="640" w:firstLine="601"/>
        <w:jc w:val="right"/>
        <w:rPr>
          <w:rFonts w:ascii="Times New Roman" w:hAnsi="Times New Roman" w:eastAsia="仿宋_GB2312" w:cs="仿宋"/>
          <w:color w:val="auto"/>
          <w:sz w:val="32"/>
          <w:szCs w:val="32"/>
        </w:rPr>
      </w:pPr>
      <w:bookmarkStart w:id="18" w:name="DYNAMIC—DWXX—tAj_dwmc—2"/>
      <w:r>
        <w:rPr>
          <w:rFonts w:hint="eastAsia" w:ascii="Times New Roman" w:hAnsi="Times New Roman" w:eastAsia="仿宋_GB2312" w:cs="仿宋"/>
          <w:color w:val="000000"/>
          <w:sz w:val="32"/>
          <w:u w:val="none"/>
        </w:rPr>
        <w:t>薛城区市场监督管理局</w:t>
      </w:r>
      <w:bookmarkEnd w:id="18"/>
      <w:r>
        <w:rPr>
          <w:rFonts w:hint="eastAsia" w:ascii="Times New Roman" w:hAnsi="Times New Roman" w:eastAsia="仿宋_GB2312" w:cs="仿宋"/>
          <w:color w:val="000000"/>
          <w:sz w:val="32"/>
          <w:szCs w:val="32"/>
          <w:u w:val="none"/>
        </w:rPr>
        <w:t xml:space="preserve">    </w:t>
      </w:r>
    </w:p>
    <w:p w14:paraId="5C9C65F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143ACE9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9" w:name="CALCULATE—TIME—NOW"/>
      <w:r>
        <w:rPr>
          <w:rFonts w:ascii="仿宋_GB2312" w:hAnsi="仿宋_GB2312" w:eastAsia="仿宋_GB2312" w:cs="仿宋_GB2312"/>
          <w:sz w:val="32"/>
        </w:rPr>
        <w:t>2026年01月29日</w:t>
      </w:r>
      <w:bookmarkEnd w:id="19"/>
      <w:r>
        <w:rPr>
          <w:rFonts w:hint="eastAsia" w:ascii="Times New Roman" w:hAnsi="Times New Roman" w:eastAsia="仿宋_GB2312" w:cs="仿宋_GB2312"/>
          <w:color w:val="000000"/>
          <w:sz w:val="32"/>
          <w:szCs w:val="32"/>
          <w:u w:val="none"/>
        </w:rPr>
        <w:t xml:space="preserve">  </w:t>
      </w:r>
    </w:p>
    <w:p w14:paraId="54C4151C">
      <w:pPr>
        <w:widowControl/>
        <w:snapToGrid w:val="0"/>
        <w:spacing w:line="520" w:lineRule="exact"/>
        <w:jc w:val="right"/>
        <w:rPr>
          <w:rFonts w:ascii="Times New Roman" w:hAnsi="Times New Roman" w:eastAsia="仿宋_GB2312" w:cs="Mongolian Baiti"/>
          <w:color w:val="auto"/>
          <w:sz w:val="32"/>
          <w:szCs w:val="32"/>
        </w:rPr>
      </w:pPr>
    </w:p>
    <w:p w14:paraId="7B0B4891">
      <w:pPr>
        <w:pStyle w:val="4"/>
        <w:spacing w:before="1"/>
        <w:ind w:left="163"/>
        <w:rPr>
          <w:rFonts w:hint="eastAsia" w:ascii="黑体" w:hAnsi="黑体" w:eastAsia="黑体"/>
          <w:color w:val="auto"/>
          <w:spacing w:val="-16"/>
        </w:rPr>
      </w:pPr>
    </w:p>
    <w:p w14:paraId="3F62B2A4">
      <w:pPr>
        <w:pStyle w:val="4"/>
        <w:spacing w:before="1"/>
        <w:ind w:left="163"/>
        <w:rPr>
          <w:rFonts w:hint="eastAsia" w:ascii="黑体" w:hAnsi="黑体" w:eastAsia="黑体"/>
          <w:color w:val="auto"/>
          <w:spacing w:val="-16"/>
        </w:rPr>
      </w:pPr>
    </w:p>
    <w:p w14:paraId="1F07C5E8">
      <w:pPr>
        <w:pStyle w:val="4"/>
        <w:spacing w:before="1"/>
        <w:ind w:left="163"/>
        <w:rPr>
          <w:rFonts w:hint="eastAsia" w:ascii="黑体" w:hAnsi="黑体" w:eastAsia="黑体"/>
          <w:color w:val="auto"/>
          <w:spacing w:val="-16"/>
        </w:rPr>
      </w:pPr>
    </w:p>
    <w:p w14:paraId="7EFEFDDD">
      <w:pPr>
        <w:pStyle w:val="4"/>
        <w:spacing w:before="1"/>
        <w:ind w:left="163"/>
        <w:rPr>
          <w:rFonts w:hint="eastAsia" w:ascii="黑体" w:hAnsi="黑体" w:eastAsia="黑体"/>
          <w:color w:val="auto"/>
          <w:spacing w:val="-16"/>
        </w:rPr>
      </w:pPr>
    </w:p>
    <w:p w14:paraId="467E7250">
      <w:pPr>
        <w:pStyle w:val="4"/>
        <w:spacing w:before="1"/>
        <w:ind w:left="163"/>
        <w:rPr>
          <w:rFonts w:hint="eastAsia" w:ascii="黑体" w:hAnsi="黑体" w:eastAsia="黑体"/>
          <w:color w:val="auto"/>
          <w:spacing w:val="-16"/>
        </w:rPr>
      </w:pPr>
    </w:p>
    <w:p w14:paraId="3D298A0A">
      <w:pPr>
        <w:pStyle w:val="4"/>
        <w:spacing w:before="1"/>
        <w:ind w:left="163"/>
        <w:rPr>
          <w:rFonts w:hint="eastAsia" w:ascii="黑体" w:hAnsi="黑体" w:eastAsia="黑体"/>
          <w:color w:val="auto"/>
          <w:spacing w:val="-16"/>
        </w:rPr>
      </w:pPr>
    </w:p>
    <w:p w14:paraId="5D2877EA">
      <w:pPr>
        <w:pStyle w:val="4"/>
        <w:spacing w:before="1"/>
        <w:ind w:left="163"/>
        <w:rPr>
          <w:rFonts w:hint="eastAsia" w:ascii="黑体" w:hAnsi="黑体" w:eastAsia="黑体"/>
          <w:color w:val="auto"/>
          <w:spacing w:val="-16"/>
        </w:rPr>
      </w:pPr>
    </w:p>
    <w:p w14:paraId="3EBFC7C2">
      <w:pPr>
        <w:pStyle w:val="4"/>
        <w:spacing w:before="1"/>
        <w:ind w:left="163"/>
        <w:rPr>
          <w:rFonts w:hint="eastAsia" w:ascii="黑体" w:hAnsi="黑体" w:eastAsia="黑体"/>
          <w:color w:val="auto"/>
          <w:spacing w:val="-16"/>
        </w:rPr>
      </w:pPr>
    </w:p>
    <w:p w14:paraId="5E4E8A7A">
      <w:pPr>
        <w:pStyle w:val="4"/>
        <w:spacing w:before="1"/>
        <w:rPr>
          <w:rFonts w:hint="eastAsia" w:ascii="黑体" w:hAnsi="黑体" w:eastAsia="黑体"/>
          <w:color w:val="auto"/>
          <w:spacing w:val="-16"/>
        </w:rPr>
      </w:pPr>
    </w:p>
    <w:p w14:paraId="516DB2BD">
      <w:pPr>
        <w:pStyle w:val="4"/>
        <w:spacing w:before="1"/>
        <w:rPr>
          <w:rFonts w:hint="eastAsia" w:ascii="黑体" w:hAnsi="黑体" w:eastAsia="黑体"/>
          <w:color w:val="auto"/>
          <w:spacing w:val="-16"/>
        </w:rPr>
      </w:pPr>
    </w:p>
    <w:p w14:paraId="5A47480E">
      <w:pPr>
        <w:pStyle w:val="4"/>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7C8BB8F">
      <w:pPr>
        <w:spacing w:line="500" w:lineRule="exact"/>
        <w:jc w:val="center"/>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Droid Sans Fallback">
    <w:altName w:val="Yu Gothic UI"/>
    <w:panose1 w:val="020B0502000000000001"/>
    <w:charset w:val="80"/>
    <w:family w:val="modern"/>
    <w:pitch w:val="default"/>
    <w:sig w:usb0="00000000" w:usb1="00000000" w:usb2="00000016" w:usb3="00000000" w:csb0="001A0000"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A2A4918"/>
    <w:rsid w:val="0AF207E4"/>
    <w:rsid w:val="0B22091D"/>
    <w:rsid w:val="0B8C1854"/>
    <w:rsid w:val="0BCA299C"/>
    <w:rsid w:val="0CA32DBE"/>
    <w:rsid w:val="0CF71776"/>
    <w:rsid w:val="103E22C5"/>
    <w:rsid w:val="1350279A"/>
    <w:rsid w:val="14203063"/>
    <w:rsid w:val="143E1E38"/>
    <w:rsid w:val="1509523C"/>
    <w:rsid w:val="152E563E"/>
    <w:rsid w:val="15B93156"/>
    <w:rsid w:val="15DA1FD3"/>
    <w:rsid w:val="170241F5"/>
    <w:rsid w:val="18325353"/>
    <w:rsid w:val="18B229B2"/>
    <w:rsid w:val="19E34919"/>
    <w:rsid w:val="19EC5296"/>
    <w:rsid w:val="19FE4517"/>
    <w:rsid w:val="1AE345F4"/>
    <w:rsid w:val="1C9C2B08"/>
    <w:rsid w:val="1DA4420A"/>
    <w:rsid w:val="1F2B5D07"/>
    <w:rsid w:val="1FD31F15"/>
    <w:rsid w:val="236534A4"/>
    <w:rsid w:val="244E1F2B"/>
    <w:rsid w:val="24626694"/>
    <w:rsid w:val="24A606F0"/>
    <w:rsid w:val="258D6CE0"/>
    <w:rsid w:val="2B1B3EFC"/>
    <w:rsid w:val="2CEA3815"/>
    <w:rsid w:val="2DE10173"/>
    <w:rsid w:val="2F327E79"/>
    <w:rsid w:val="2F7CE1EF"/>
    <w:rsid w:val="30DB5683"/>
    <w:rsid w:val="342602B0"/>
    <w:rsid w:val="3585615B"/>
    <w:rsid w:val="368E5656"/>
    <w:rsid w:val="377FBB27"/>
    <w:rsid w:val="37F16547"/>
    <w:rsid w:val="38B63DA7"/>
    <w:rsid w:val="3930619F"/>
    <w:rsid w:val="3A4E178D"/>
    <w:rsid w:val="3BF97ECA"/>
    <w:rsid w:val="3C2965F0"/>
    <w:rsid w:val="3D661024"/>
    <w:rsid w:val="3F2604DF"/>
    <w:rsid w:val="3F6783E4"/>
    <w:rsid w:val="3FFF82D4"/>
    <w:rsid w:val="402E7C06"/>
    <w:rsid w:val="40FE5F8F"/>
    <w:rsid w:val="415844C0"/>
    <w:rsid w:val="425049CE"/>
    <w:rsid w:val="4659781C"/>
    <w:rsid w:val="48C10000"/>
    <w:rsid w:val="4A256B30"/>
    <w:rsid w:val="4B8F0B22"/>
    <w:rsid w:val="4BD32FF0"/>
    <w:rsid w:val="4C02380F"/>
    <w:rsid w:val="4CC8271B"/>
    <w:rsid w:val="4D0430E3"/>
    <w:rsid w:val="4D9306AE"/>
    <w:rsid w:val="4E8950D9"/>
    <w:rsid w:val="4F0457DF"/>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5680A32"/>
    <w:rsid w:val="66733921"/>
    <w:rsid w:val="69690BB2"/>
    <w:rsid w:val="6AD7030F"/>
    <w:rsid w:val="6BCC1BB9"/>
    <w:rsid w:val="6D923254"/>
    <w:rsid w:val="6DC95CF3"/>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A056BB"/>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2763</Words>
  <Characters>3048</Characters>
  <Lines>0</Lines>
  <Paragraphs>0</Paragraphs>
  <TotalTime>9</TotalTime>
  <ScaleCrop>false</ScaleCrop>
  <LinksUpToDate>false</LinksUpToDate>
  <CharactersWithSpaces>3348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2026-01-29T08:40:59Z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eyJoZGlkIjoiMGNkNGMyMzk0NmZlZDdkMzVkYmVhZDU5NmVjNGRjYjkiLCJ1c2VySWQiOiIxNDk1MTk4OTE4In0=</vt:lpwstr>
  </property>
</Properties>
</file>