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薛市监处罚〔2026〕16号</w:t>
      </w:r>
      <w:bookmarkEnd w:id="2"/>
    </w:p>
    <w:p w14:paraId="01D329AB">
      <w:pPr>
        <w:spacing w:before="315" w:beforeLines="100" w:line="540" w:lineRule="exact"/>
        <w:ind w:left="142" w:hanging="142"/>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auto"/>
          <w:kern w:val="1"/>
          <w:sz w:val="32"/>
          <w:szCs w:val="32"/>
          <w:u w:val="none"/>
        </w:rPr>
        <w:t>当事人：</w:t>
      </w:r>
      <w:bookmarkStart w:id="3" w:name="CALCULATE—DSR—tAjDsrs_cMc"/>
      <w:r>
        <w:rPr>
          <w:rFonts w:hint="eastAsia" w:ascii="Times New Roman" w:hAnsi="Times New Roman" w:eastAsia="仿宋_GB2312" w:cs="Mongolian Baiti"/>
          <w:b w:val="0"/>
          <w:color w:val="auto"/>
          <w:sz w:val="32"/>
          <w:u w:val="none"/>
        </w:rPr>
        <w:t>枣庄薛城区贵起福螺蛳粉店（个体工商户）</w:t>
      </w:r>
      <w:bookmarkEnd w:id="3"/>
      <w:r>
        <w:rPr>
          <w:rFonts w:hint="default"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rPr>
        <w:t xml:space="preserve">   </w:t>
      </w:r>
      <w:r>
        <w:rPr>
          <w:rFonts w:hint="default"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rPr>
        <w:t xml:space="preserve">                                      </w:t>
      </w:r>
    </w:p>
    <w:p w14:paraId="3CFD1A68">
      <w:pPr>
        <w:spacing w:line="540" w:lineRule="exact"/>
        <w:ind w:left="140" w:hanging="140"/>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auto"/>
          <w:kern w:val="1"/>
          <w:sz w:val="32"/>
          <w:szCs w:val="32"/>
          <w:u w:val="none"/>
        </w:rPr>
        <w:t>主体资格证照</w:t>
      </w:r>
      <w:r>
        <w:rPr>
          <w:rFonts w:hint="eastAsia" w:ascii="Times New Roman" w:hAnsi="Times New Roman" w:eastAsia="仿宋_GB2312" w:cs="Mongolian Baiti"/>
          <w:b w:val="0"/>
          <w:bCs/>
          <w:color w:val="auto"/>
          <w:kern w:val="1"/>
          <w:sz w:val="32"/>
          <w:szCs w:val="32"/>
          <w:u w:val="none"/>
        </w:rPr>
        <w:t>名称：</w:t>
      </w:r>
      <w:bookmarkStart w:id="4" w:name="CALCULATE—DSR—tAjDsrs_cZtzgzzmc"/>
      <w:r>
        <w:rPr>
          <w:rFonts w:hint="eastAsia" w:ascii="Times New Roman" w:hAnsi="Times New Roman" w:eastAsia="仿宋_GB2312" w:cs="Mongolian Baiti"/>
          <w:b w:val="0"/>
          <w:color w:val="auto"/>
          <w:sz w:val="32"/>
          <w:u w:val="none"/>
        </w:rPr>
        <w:t>营业执照</w:t>
      </w:r>
      <w:bookmarkEnd w:id="4"/>
      <w:r>
        <w:rPr>
          <w:rFonts w:hint="eastAsia" w:ascii="Times New Roman" w:hAnsi="Times New Roman" w:eastAsia="仿宋_GB2312" w:cs="Mongolian Baiti"/>
          <w:b w:val="0"/>
          <w:bCs/>
          <w:color w:val="auto"/>
          <w:kern w:val="1"/>
          <w:sz w:val="32"/>
          <w:szCs w:val="32"/>
          <w:u w:val="none"/>
        </w:rPr>
        <w:t xml:space="preserve">                                  </w:t>
      </w:r>
    </w:p>
    <w:p w14:paraId="6112D816">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统一社会信用代码：</w:t>
      </w:r>
      <w:bookmarkStart w:id="5" w:name="CALCULATE—DSR—tAjDsrs_cTzshxydm"/>
      <w:r>
        <w:rPr>
          <w:rFonts w:hint="eastAsia" w:ascii="Times New Roman" w:hAnsi="Times New Roman" w:eastAsia="仿宋_GB2312" w:cs="Mongolian Baiti"/>
          <w:b w:val="0"/>
          <w:color w:val="auto"/>
          <w:sz w:val="32"/>
          <w:u w:val="none"/>
        </w:rPr>
        <w:t>92370403MAE787CJ3X</w:t>
      </w:r>
      <w:bookmarkEnd w:id="5"/>
      <w:r>
        <w:rPr>
          <w:rFonts w:hint="eastAsia" w:ascii="Times New Roman" w:hAnsi="Times New Roman" w:eastAsia="仿宋_GB2312" w:cs="Mongolian Baiti"/>
          <w:b w:val="0"/>
          <w:bCs/>
          <w:color w:val="auto"/>
          <w:kern w:val="1"/>
          <w:sz w:val="32"/>
          <w:szCs w:val="32"/>
          <w:u w:val="none"/>
        </w:rPr>
        <w:t xml:space="preserve">                                  </w:t>
      </w:r>
    </w:p>
    <w:p w14:paraId="7EDC33E1">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住所（住址）：</w:t>
      </w:r>
      <w:bookmarkStart w:id="6" w:name="CALCULATE—DSR—tAjDsrs_cLxdzSheng"/>
      <w:r>
        <w:rPr>
          <w:rFonts w:hint="eastAsia" w:ascii="Times New Roman" w:hAnsi="Times New Roman" w:eastAsia="仿宋_GB2312" w:cs="Mongolian Baiti"/>
          <w:b w:val="0"/>
          <w:color w:val="auto"/>
          <w:sz w:val="32"/>
          <w:u w:val="none"/>
        </w:rPr>
        <w:t>山东省枣庄市薛城区临城街道永兴路贵诚购物中心西侧大铁门从北往南第一间门市</w:t>
      </w:r>
      <w:bookmarkEnd w:id="6"/>
      <w:r>
        <w:rPr>
          <w:rFonts w:hint="eastAsia"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lang w:val="en-US" w:eastAsia="zh-CN"/>
        </w:rPr>
        <w:t xml:space="preserve"> </w:t>
      </w:r>
    </w:p>
    <w:p w14:paraId="6D06CE20">
      <w:pPr>
        <w:spacing w:line="540" w:lineRule="exact"/>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法定代表人（负责人</w:t>
      </w:r>
      <w:r>
        <w:rPr>
          <w:rFonts w:hint="eastAsia" w:ascii="Times New Roman" w:hAnsi="Times New Roman" w:eastAsia="仿宋_GB2312" w:cs="Mongolian Baiti"/>
          <w:b w:val="0"/>
          <w:bCs/>
          <w:color w:val="auto"/>
          <w:kern w:val="1"/>
          <w:sz w:val="32"/>
          <w:szCs w:val="32"/>
          <w:u w:val="none"/>
          <w:lang w:eastAsia="zh-CN"/>
        </w:rPr>
        <w:t>、经营者</w:t>
      </w:r>
      <w:r>
        <w:rPr>
          <w:rFonts w:hint="eastAsia" w:ascii="Times New Roman" w:hAnsi="Times New Roman" w:eastAsia="仿宋_GB2312" w:cs="Mongolian Baiti"/>
          <w:b w:val="0"/>
          <w:bCs/>
          <w:color w:val="auto"/>
          <w:kern w:val="1"/>
          <w:sz w:val="32"/>
          <w:szCs w:val="32"/>
          <w:u w:val="none"/>
        </w:rPr>
        <w:t>）：</w:t>
      </w:r>
      <w:bookmarkStart w:id="7" w:name="CALCULATE—DSR—tAjDsrs_cFddbr"/>
      <w:r>
        <w:rPr>
          <w:rFonts w:hint="eastAsia" w:ascii="Times New Roman" w:hAnsi="Times New Roman" w:eastAsia="仿宋_GB2312" w:cs="Mongolian Baiti"/>
          <w:b w:val="0"/>
          <w:color w:val="auto"/>
          <w:sz w:val="32"/>
          <w:u w:val="none"/>
        </w:rPr>
        <w:t>张冲</w:t>
      </w:r>
      <w:bookmarkEnd w:id="7"/>
      <w:r>
        <w:rPr>
          <w:rFonts w:hint="eastAsia" w:ascii="Times New Roman" w:hAnsi="Times New Roman" w:eastAsia="仿宋_GB2312" w:cs="Mongolian Baiti"/>
          <w:b w:val="0"/>
          <w:bCs/>
          <w:color w:val="auto"/>
          <w:kern w:val="1"/>
          <w:sz w:val="32"/>
          <w:szCs w:val="32"/>
          <w:u w:val="none"/>
        </w:rPr>
        <w:t xml:space="preserve">                       </w:t>
      </w:r>
    </w:p>
    <w:p w14:paraId="29EB9176">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auto"/>
          <w:kern w:val="1"/>
          <w:sz w:val="32"/>
          <w:szCs w:val="32"/>
          <w:u w:val="none"/>
        </w:rPr>
        <w:t>身份证件号码：</w:t>
      </w:r>
      <w:bookmarkStart w:id="8" w:name="CALCULATE—DSR—tAjDsrs_cZjhm"/>
      <w:r>
        <w:rPr>
          <w:rFonts w:hint="eastAsia" w:ascii="Times New Roman" w:hAnsi="Times New Roman" w:eastAsia="仿宋_GB2312" w:cs="Mongolian Baiti"/>
          <w:b w:val="0"/>
          <w:color w:val="auto"/>
          <w:sz w:val="32"/>
          <w:u w:val="none"/>
          <w:lang w:val="en-US" w:eastAsia="zh-CN"/>
        </w:rPr>
        <w:t>**************</w:t>
      </w:r>
      <w:r>
        <w:rPr>
          <w:rFonts w:hint="eastAsia" w:ascii="Times New Roman" w:hAnsi="Times New Roman" w:eastAsia="仿宋_GB2312" w:cs="Mongolian Baiti"/>
          <w:b w:val="0"/>
          <w:color w:val="auto"/>
          <w:sz w:val="32"/>
          <w:u w:val="none"/>
        </w:rPr>
        <w:t>6810</w:t>
      </w:r>
      <w:bookmarkEnd w:id="8"/>
      <w:r>
        <w:rPr>
          <w:rFonts w:hint="eastAsia"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single"/>
        </w:rPr>
        <w:t xml:space="preserve">                 </w:t>
      </w:r>
    </w:p>
    <w:p w14:paraId="36DA9A72">
      <w:pPr>
        <w:pStyle w:val="3"/>
        <w:keepNext w:val="0"/>
        <w:keepLines w:val="0"/>
        <w:pageBreakBefore w:val="0"/>
        <w:widowControl w:val="0"/>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default" w:ascii="仿宋_GB2312" w:hAnsi="方正仿宋_GBK" w:eastAsia="仿宋_GB2312"/>
          <w:b w:val="0"/>
          <w:bCs/>
          <w:color w:val="auto"/>
          <w:u w:val="single" w:color="231F20"/>
          <w:lang w:val="en-US" w:eastAsia="zh-CN"/>
        </w:rPr>
      </w:pPr>
      <w:r>
        <w:rPr>
          <w:rFonts w:hint="eastAsia" w:ascii="仿宋_GB2312" w:hAnsi="仿宋_GB2312" w:eastAsia="仿宋_GB2312" w:cs="仿宋_GB2312"/>
          <w:sz w:val="32"/>
          <w:u w:val="none"/>
        </w:rPr>
        <w:t>2025年11月12日，薛城区市场监督管理局对当事人采购使用的辣椒进行食品安全监督抽检，经奥迈检测有限公司检验，噻虫胺项目（标准值：≤0.05mg /kg，实测值：0.28mg /kg）不符合GB 2763-2021《食品安全国家标准 食品中农药最大残留限量》要求，检验结论为不合格，《检验报告》编号：No:AMJC/20251117820。2025年12月16日，</w:t>
      </w:r>
      <w:r>
        <w:rPr>
          <w:rFonts w:hint="eastAsia" w:ascii="仿宋_GB2312" w:hAnsi="仿宋_GB2312" w:eastAsia="仿宋_GB2312" w:cs="仿宋_GB2312"/>
          <w:sz w:val="32"/>
          <w:u w:val="none"/>
          <w:lang w:val="en-US" w:eastAsia="zh-CN"/>
        </w:rPr>
        <w:t>本</w:t>
      </w:r>
      <w:r>
        <w:rPr>
          <w:rFonts w:hint="eastAsia" w:ascii="仿宋_GB2312" w:hAnsi="仿宋_GB2312" w:eastAsia="仿宋_GB2312" w:cs="仿宋_GB2312"/>
          <w:sz w:val="32"/>
          <w:u w:val="none"/>
        </w:rPr>
        <w:t>局执法人员将《食品安全抽样检验结果通知书》、不合格《检验报告》各1份送达当事人，该单位经营者张冲当场签收。执法人员在现场未发现上述不合格辣椒，现场询问当事人已全部销售给抽样人员。当事人在法定期限内未提出复检申请。当事人的上述行为违反了《中华人民共和国食品安全法》第五十五条第一款“餐饮服务提供者应当制定并实施原料控制要求，不得采购不符合食品安全标准的食品原料。倡导餐饮服务提供者公开加工过程，公示食品原料及其来源等信息。”的规定，申请予以立案。</w:t>
      </w:r>
    </w:p>
    <w:p w14:paraId="6BB05B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u w:val="none"/>
        </w:rPr>
        <w:t>经调查确认，当事人自述涉案抽检不合格辣椒是其从北</w:t>
      </w:r>
      <w:r>
        <w:rPr>
          <w:rFonts w:hint="eastAsia" w:ascii="仿宋_GB2312" w:hAnsi="仿宋_GB2312" w:eastAsia="仿宋_GB2312" w:cs="仿宋_GB2312"/>
          <w:sz w:val="32"/>
          <w:u w:val="none"/>
          <w:lang w:val="en-US" w:eastAsia="zh-CN"/>
        </w:rPr>
        <w:t>城</w:t>
      </w:r>
      <w:r>
        <w:rPr>
          <w:rFonts w:hint="eastAsia" w:ascii="仿宋_GB2312" w:hAnsi="仿宋_GB2312" w:eastAsia="仿宋_GB2312" w:cs="仿宋_GB2312"/>
          <w:sz w:val="32"/>
          <w:u w:val="none"/>
        </w:rPr>
        <w:t>批</w:t>
      </w:r>
      <w:r>
        <w:rPr>
          <w:rFonts w:hint="eastAsia" w:ascii="仿宋_GB2312" w:hAnsi="仿宋_GB2312" w:eastAsia="仿宋_GB2312" w:cs="仿宋_GB2312"/>
          <w:sz w:val="32"/>
          <w:u w:val="none"/>
          <w:lang w:val="en-US" w:eastAsia="zh-CN"/>
        </w:rPr>
        <w:t>发</w:t>
      </w:r>
      <w:r>
        <w:rPr>
          <w:rFonts w:hint="eastAsia" w:ascii="仿宋_GB2312" w:hAnsi="仿宋_GB2312" w:eastAsia="仿宋_GB2312" w:cs="仿宋_GB2312"/>
          <w:sz w:val="32"/>
          <w:u w:val="none"/>
        </w:rPr>
        <w:t>市场购进，共购进2.48kg，购进价格7元/kg，以7元/kg价格全部销售给抽样人员2.48kg，货值共计17.36元，违法所得为17.36元。当事人未履行进货查验义务，故无法进行溯源。现已查明，当事人采购使用不符合食品安全标准的食品原料违法事实客观存在。</w:t>
      </w:r>
    </w:p>
    <w:p w14:paraId="5F5455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u w:val="none"/>
        </w:rPr>
        <w:t>上述事实，主要有以下证据证明：</w:t>
      </w:r>
    </w:p>
    <w:p w14:paraId="1F82F8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u w:val="none"/>
          <w:lang w:eastAsia="zh-CN"/>
        </w:rPr>
      </w:pPr>
      <w:bookmarkStart w:id="9" w:name="CALCULATE—ZJCL—tajCltjes_zjclxx"/>
      <w:r>
        <w:rPr>
          <w:rFonts w:hint="eastAsia" w:ascii="仿宋_GB2312" w:hAnsi="仿宋_GB2312" w:eastAsia="仿宋_GB2312" w:cs="仿宋_GB2312"/>
          <w:sz w:val="32"/>
          <w:u w:val="none"/>
          <w:lang w:val="en-US" w:eastAsia="zh-CN"/>
        </w:rPr>
        <w:t>1、</w:t>
      </w:r>
      <w:r>
        <w:rPr>
          <w:rFonts w:hint="eastAsia" w:ascii="仿宋_GB2312" w:hAnsi="仿宋_GB2312" w:eastAsia="仿宋_GB2312" w:cs="仿宋_GB2312"/>
          <w:sz w:val="32"/>
          <w:u w:val="none"/>
        </w:rPr>
        <w:t>当事人《营业执照》、《食品经营许可证》复印件各1份（共</w:t>
      </w:r>
      <w:r>
        <w:rPr>
          <w:rFonts w:hint="eastAsia" w:ascii="仿宋_GB2312" w:hAnsi="仿宋_GB2312" w:eastAsia="仿宋_GB2312" w:cs="仿宋_GB2312"/>
          <w:sz w:val="32"/>
          <w:u w:val="none"/>
          <w:lang w:val="en-US" w:eastAsia="zh-CN"/>
        </w:rPr>
        <w:t>2</w:t>
      </w:r>
      <w:r>
        <w:rPr>
          <w:rFonts w:hint="eastAsia" w:ascii="仿宋_GB2312" w:hAnsi="仿宋_GB2312" w:eastAsia="仿宋_GB2312" w:cs="仿宋_GB2312"/>
          <w:sz w:val="32"/>
          <w:u w:val="none"/>
        </w:rPr>
        <w:t>页），证明当事人是能够独立承担法律责任的行政法律关系主体</w:t>
      </w:r>
      <w:r>
        <w:rPr>
          <w:rFonts w:hint="eastAsia" w:ascii="仿宋_GB2312" w:hAnsi="仿宋_GB2312" w:eastAsia="仿宋_GB2312" w:cs="仿宋_GB2312"/>
          <w:sz w:val="32"/>
          <w:u w:val="none"/>
          <w:lang w:eastAsia="zh-CN"/>
        </w:rPr>
        <w:t>；</w:t>
      </w:r>
    </w:p>
    <w:p w14:paraId="6CC1CC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u w:val="none"/>
          <w:lang w:eastAsia="zh-CN"/>
        </w:rPr>
      </w:pPr>
      <w:r>
        <w:rPr>
          <w:rFonts w:hint="eastAsia" w:ascii="仿宋_GB2312" w:hAnsi="仿宋_GB2312" w:eastAsia="仿宋_GB2312" w:cs="仿宋_GB2312"/>
          <w:sz w:val="32"/>
          <w:u w:val="none"/>
          <w:lang w:val="en-US" w:eastAsia="zh-CN"/>
        </w:rPr>
        <w:t>2、当事人《居民身份证》复印件1份（共1页），</w:t>
      </w:r>
      <w:r>
        <w:rPr>
          <w:rFonts w:hint="eastAsia" w:ascii="Times New Roman" w:hAnsi="Times New Roman" w:eastAsia="仿宋_GB2312" w:cs="仿宋_GB2312"/>
          <w:sz w:val="32"/>
          <w:u w:val="none"/>
        </w:rPr>
        <w:t>证明当事人身份信息</w:t>
      </w:r>
      <w:r>
        <w:rPr>
          <w:rFonts w:hint="eastAsia" w:ascii="Times New Roman" w:hAnsi="Times New Roman" w:eastAsia="仿宋_GB2312" w:cs="仿宋_GB2312"/>
          <w:sz w:val="32"/>
          <w:u w:val="none"/>
          <w:lang w:eastAsia="zh-CN"/>
        </w:rPr>
        <w:t>；</w:t>
      </w:r>
      <w:r>
        <w:rPr>
          <w:rFonts w:hint="eastAsia" w:ascii="仿宋_GB2312" w:hAnsi="仿宋_GB2312" w:eastAsia="仿宋_GB2312" w:cs="仿宋_GB2312"/>
          <w:sz w:val="32"/>
          <w:u w:val="none"/>
        </w:rPr>
        <w:br w:type="textWrapping"/>
      </w:r>
      <w:r>
        <w:rPr>
          <w:rFonts w:hint="eastAsia" w:ascii="仿宋_GB2312" w:hAnsi="仿宋_GB2312" w:eastAsia="仿宋_GB2312" w:cs="仿宋_GB2312"/>
          <w:sz w:val="32"/>
          <w:u w:val="none"/>
        </w:rPr>
        <w:t>　　</w:t>
      </w:r>
      <w:r>
        <w:rPr>
          <w:rFonts w:hint="eastAsia" w:ascii="仿宋_GB2312" w:hAnsi="仿宋_GB2312" w:eastAsia="仿宋_GB2312" w:cs="仿宋_GB2312"/>
          <w:sz w:val="32"/>
          <w:u w:val="none"/>
          <w:lang w:val="en-US" w:eastAsia="zh-CN"/>
        </w:rPr>
        <w:t>3、</w:t>
      </w:r>
      <w:r>
        <w:rPr>
          <w:rFonts w:hint="eastAsia" w:ascii="仿宋_GB2312" w:hAnsi="仿宋_GB2312" w:eastAsia="仿宋_GB2312" w:cs="仿宋_GB2312"/>
          <w:sz w:val="32"/>
          <w:u w:val="none"/>
        </w:rPr>
        <w:t>《现场笔录》、当事人张冲《询问笔录》各1份（共5页），证明当事人采购不符合食品安全标准的食品原料辣椒的违法事实存在，</w:t>
      </w:r>
      <w:r>
        <w:rPr>
          <w:rFonts w:hint="eastAsia" w:ascii="仿宋_GB2312" w:hAnsi="仿宋_GB2312" w:eastAsia="仿宋_GB2312" w:cs="仿宋_GB2312"/>
          <w:sz w:val="32"/>
          <w:u w:val="none"/>
          <w:lang w:val="en-US" w:eastAsia="zh-CN"/>
        </w:rPr>
        <w:t>对</w:t>
      </w:r>
      <w:r>
        <w:rPr>
          <w:rFonts w:hint="eastAsia" w:ascii="仿宋_GB2312" w:hAnsi="仿宋_GB2312" w:eastAsia="仿宋_GB2312" w:cs="仿宋_GB2312"/>
          <w:sz w:val="32"/>
          <w:u w:val="none"/>
        </w:rPr>
        <w:t>涉案食品的数量、货值金额等信息</w:t>
      </w:r>
      <w:r>
        <w:rPr>
          <w:rFonts w:hint="eastAsia" w:ascii="仿宋_GB2312" w:hAnsi="仿宋_GB2312" w:eastAsia="仿宋_GB2312" w:cs="仿宋_GB2312"/>
          <w:sz w:val="32"/>
          <w:u w:val="none"/>
          <w:lang w:val="en-US" w:eastAsia="zh-CN"/>
        </w:rPr>
        <w:t>的确认解释</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br w:type="textWrapping"/>
      </w:r>
      <w:r>
        <w:rPr>
          <w:rFonts w:hint="eastAsia" w:ascii="仿宋_GB2312" w:hAnsi="仿宋_GB2312" w:eastAsia="仿宋_GB2312" w:cs="仿宋_GB2312"/>
          <w:sz w:val="32"/>
          <w:u w:val="none"/>
        </w:rPr>
        <w:t>　　</w:t>
      </w:r>
      <w:r>
        <w:rPr>
          <w:rFonts w:hint="eastAsia" w:ascii="仿宋_GB2312" w:hAnsi="仿宋_GB2312" w:eastAsia="仿宋_GB2312" w:cs="仿宋_GB2312"/>
          <w:sz w:val="32"/>
          <w:u w:val="none"/>
          <w:lang w:val="en-US" w:eastAsia="zh-CN"/>
        </w:rPr>
        <w:t>4、</w:t>
      </w:r>
      <w:r>
        <w:rPr>
          <w:rFonts w:hint="eastAsia" w:ascii="仿宋_GB2312" w:hAnsi="仿宋_GB2312" w:eastAsia="仿宋_GB2312" w:cs="仿宋_GB2312"/>
          <w:sz w:val="32"/>
          <w:u w:val="none"/>
        </w:rPr>
        <w:t>食品安全抽样检验抽样单（食用农产品）、食品安全抽样检验告知书、食品安全抽样检验结果通知书、检验报告各1份（共8页），证明当事人采购不符合食品安全标准的食品原料辣椒的违法事实存在</w:t>
      </w:r>
      <w:bookmarkEnd w:id="9"/>
      <w:r>
        <w:rPr>
          <w:rFonts w:hint="eastAsia" w:ascii="仿宋_GB2312" w:hAnsi="仿宋_GB2312" w:eastAsia="仿宋_GB2312" w:cs="仿宋_GB2312"/>
          <w:sz w:val="32"/>
          <w:u w:val="none"/>
          <w:lang w:eastAsia="zh-CN"/>
        </w:rPr>
        <w:t>。</w:t>
      </w:r>
    </w:p>
    <w:p w14:paraId="7995BE23">
      <w:pPr>
        <w:pStyle w:val="3"/>
        <w:keepNext w:val="0"/>
        <w:keepLines w:val="0"/>
        <w:pageBreakBefore w:val="0"/>
        <w:widowControl w:val="0"/>
        <w:tabs>
          <w:tab w:val="left" w:pos="9060"/>
        </w:tabs>
        <w:kinsoku/>
        <w:overflowPunct/>
        <w:topLinePunct w:val="0"/>
        <w:bidi w:val="0"/>
        <w:snapToGrid/>
        <w:spacing w:line="54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Times New Roman" w:hAnsi="Times New Roman" w:eastAsia="仿宋_GB2312" w:cs="仿宋"/>
          <w:b w:val="0"/>
          <w:bCs/>
          <w:color w:val="000000"/>
          <w:kern w:val="2"/>
          <w:sz w:val="32"/>
          <w:szCs w:val="32"/>
          <w:u w:val="none"/>
          <w:lang w:val="en-US" w:eastAsia="zh-CN" w:bidi="ar-SA"/>
        </w:rPr>
        <w:t>本局于2026年2月2日下达《行政处罚告知书》（薛市监罚告〔2026〕16号），告知当事人我局拟作出行政处罚的事实、理由、依据和处罚内容，</w:t>
      </w:r>
      <w:r>
        <w:rPr>
          <w:rFonts w:hint="eastAsia" w:ascii="Times New Roman" w:eastAsia="仿宋_GB2312" w:cs="仿宋"/>
          <w:b w:val="0"/>
          <w:bCs/>
          <w:color w:val="000000"/>
          <w:kern w:val="2"/>
          <w:sz w:val="32"/>
          <w:szCs w:val="32"/>
          <w:u w:val="none"/>
          <w:lang w:val="en-US" w:eastAsia="zh-CN" w:bidi="ar-SA"/>
        </w:rPr>
        <w:t>当事人</w:t>
      </w:r>
      <w:r>
        <w:rPr>
          <w:rFonts w:hint="eastAsia" w:ascii="Times New Roman" w:hAnsi="Times New Roman" w:eastAsia="仿宋_GB2312" w:cs="仿宋"/>
          <w:b w:val="0"/>
          <w:bCs/>
          <w:color w:val="000000"/>
          <w:kern w:val="2"/>
          <w:sz w:val="32"/>
          <w:szCs w:val="32"/>
          <w:u w:val="none"/>
          <w:lang w:val="en-US" w:eastAsia="zh-CN" w:bidi="ar-SA"/>
        </w:rPr>
        <w:t>在法定时间内未提出陈述，申辩，视为放弃。</w:t>
      </w:r>
    </w:p>
    <w:p w14:paraId="3A2AFC3F">
      <w:pPr>
        <w:pStyle w:val="3"/>
        <w:keepNext w:val="0"/>
        <w:keepLines w:val="0"/>
        <w:pageBreakBefore w:val="0"/>
        <w:widowControl w:val="0"/>
        <w:tabs>
          <w:tab w:val="left" w:pos="8405"/>
        </w:tabs>
        <w:kinsoku/>
        <w:overflowPunct/>
        <w:topLinePunct w:val="0"/>
        <w:bidi w:val="0"/>
        <w:snapToGrid/>
        <w:spacing w:line="540" w:lineRule="exact"/>
        <w:ind w:firstLine="640" w:firstLineChars="200"/>
        <w:textAlignment w:val="auto"/>
        <w:rPr>
          <w:rFonts w:ascii="Times New Roman" w:eastAsia="仿宋_GB2312" w:cs="仿宋_GB2312"/>
          <w:b w:val="0"/>
          <w:bCs/>
          <w:color w:val="auto"/>
          <w:u w:val="single"/>
        </w:rPr>
      </w:pPr>
      <w:r>
        <w:rPr>
          <w:rFonts w:hint="eastAsia" w:ascii="仿宋_GB2312" w:eastAsia="仿宋_GB2312" w:cs="Mongolian Baiti"/>
          <w:b w:val="0"/>
          <w:bCs/>
          <w:color w:val="auto"/>
          <w:kern w:val="1"/>
        </w:rPr>
        <w:t>本局认为，</w:t>
      </w:r>
      <w:r>
        <w:rPr>
          <w:rFonts w:hint="eastAsia" w:ascii="仿宋_GB2312" w:hAnsi="仿宋_GB2312" w:eastAsia="仿宋_GB2312" w:cs="仿宋_GB2312"/>
          <w:sz w:val="32"/>
          <w:szCs w:val="32"/>
          <w:lang w:val="en-US" w:eastAsia="zh-CN"/>
        </w:rPr>
        <w:t>当事人采购不符合食品安全标准的食品原料</w:t>
      </w:r>
      <w:r>
        <w:rPr>
          <w:rFonts w:hint="eastAsia" w:ascii="仿宋_GB2312" w:hAnsi="仿宋_GB2312" w:eastAsia="仿宋_GB2312" w:cs="仿宋_GB2312"/>
          <w:sz w:val="32"/>
          <w:u w:val="none"/>
        </w:rPr>
        <w:t>辣椒</w:t>
      </w:r>
      <w:r>
        <w:rPr>
          <w:rFonts w:hint="eastAsia" w:ascii="仿宋_GB2312" w:hAnsi="Times New Roman" w:eastAsia="仿宋_GB2312" w:cs="仿宋_GB2312"/>
          <w:sz w:val="32"/>
          <w:u w:val="none"/>
          <w:lang w:val="en-US" w:eastAsia="zh-CN"/>
        </w:rPr>
        <w:t>及未履行进货查验记录制度</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lang w:val="en-US" w:eastAsia="zh-CN"/>
        </w:rPr>
        <w:t>行为</w:t>
      </w:r>
      <w:r>
        <w:rPr>
          <w:rFonts w:hint="eastAsia" w:ascii="仿宋_GB2312" w:hAnsi="Times New Roman" w:eastAsia="仿宋_GB2312" w:cs="仿宋_GB2312"/>
          <w:sz w:val="32"/>
          <w:u w:val="none"/>
          <w:lang w:val="en-US" w:eastAsia="zh-CN"/>
        </w:rPr>
        <w:t>，违反了</w:t>
      </w:r>
      <w:r>
        <w:rPr>
          <w:rFonts w:hint="eastAsia" w:ascii="仿宋_GB2312" w:hAnsi="仿宋_GB2312" w:eastAsia="仿宋_GB2312" w:cs="仿宋_GB2312"/>
          <w:sz w:val="32"/>
        </w:rPr>
        <w:t>《中华人民共和国食品安全法》第五十五条第一款</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餐饮服务提供者应当制定并实施原料控制要求，不得采购不符合食品安全标准的食品原料。倡导餐饮服务提供者公开加工过程，公示食品原料及其来源等信息</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的规定</w:t>
      </w:r>
      <w:r>
        <w:rPr>
          <w:rFonts w:hint="eastAsia" w:ascii="仿宋_GB2312" w:hAnsi="仿宋_GB2312" w:eastAsia="仿宋_GB2312" w:cs="仿宋_GB2312"/>
          <w:sz w:val="32"/>
        </w:rPr>
        <w:t>。</w:t>
      </w:r>
      <w:r>
        <w:rPr>
          <w:rFonts w:hint="eastAsia" w:ascii="仿宋_GB2312" w:hAnsi="仿宋_GB2312" w:eastAsia="仿宋_GB2312" w:cs="仿宋_GB2312"/>
          <w:sz w:val="32"/>
          <w:u w:val="none"/>
        </w:rPr>
        <w:t xml:space="preserve"> </w:t>
      </w:r>
    </w:p>
    <w:p w14:paraId="04E1BFB8">
      <w:pPr>
        <w:pStyle w:val="3"/>
        <w:keepNext w:val="0"/>
        <w:keepLines w:val="0"/>
        <w:pageBreakBefore w:val="0"/>
        <w:widowControl w:val="0"/>
        <w:tabs>
          <w:tab w:val="left" w:pos="9060"/>
        </w:tabs>
        <w:kinsoku/>
        <w:overflowPunct/>
        <w:topLinePunct w:val="0"/>
        <w:bidi w:val="0"/>
        <w:snapToGrid/>
        <w:spacing w:line="54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u w:val="none"/>
        </w:rPr>
        <w:t xml:space="preserve">鉴于当事人能够积极配合调查，如实陈述违法事实并提供有关证据资料，其行为符合《山东省市场监督管理行政处罚裁量权适用规则》第十二条第（三）项：“当事人有下列情形之一，可以依法从轻或者减轻处罚：（三）积极配合市场监管部门调查并主动提供证据材料的。”关于减轻处罚的规定。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之规定，对当事人予以减轻处罚。       </w:t>
      </w:r>
    </w:p>
    <w:p w14:paraId="52874B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当事人采购不符合食品安全标准的食品原料</w:t>
      </w:r>
      <w:r>
        <w:rPr>
          <w:rFonts w:hint="eastAsia" w:ascii="仿宋_GB2312" w:hAnsi="仿宋_GB2312" w:eastAsia="仿宋_GB2312" w:cs="仿宋_GB2312"/>
          <w:sz w:val="32"/>
          <w:u w:val="none"/>
        </w:rPr>
        <w:t>辣椒</w:t>
      </w:r>
      <w:r>
        <w:rPr>
          <w:rFonts w:hint="eastAsia" w:ascii="仿宋_GB2312" w:hAnsi="仿宋_GB2312" w:eastAsia="仿宋_GB2312" w:cs="仿宋_GB2312"/>
          <w:sz w:val="32"/>
          <w:u w:val="none"/>
          <w:lang w:val="en-US" w:eastAsia="zh-CN"/>
        </w:rPr>
        <w:t>的行为，</w:t>
      </w:r>
      <w:r>
        <w:rPr>
          <w:rFonts w:hint="eastAsia" w:ascii="仿宋_GB2312" w:hAnsi="仿宋_GB2312" w:eastAsia="仿宋_GB2312" w:cs="仿宋_GB2312"/>
          <w:sz w:val="32"/>
          <w:lang w:val="en-US" w:eastAsia="zh-CN"/>
        </w:rPr>
        <w:t>依据</w:t>
      </w:r>
      <w:r>
        <w:rPr>
          <w:rFonts w:hint="eastAsia" w:ascii="仿宋_GB2312" w:hAnsi="仿宋_GB2312" w:eastAsia="仿宋_GB2312" w:cs="仿宋_GB2312"/>
          <w:sz w:val="32"/>
        </w:rPr>
        <w:t>《中华人民共和国食品安全法》第一百二十五条第一款第四项</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四）食品生产经营者采购或者使用不符合食品安全标准的食品原料、食品添加剂、食品相关产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的规定进行处罚，</w:t>
      </w:r>
      <w:r>
        <w:rPr>
          <w:rFonts w:hint="eastAsia" w:ascii="Times New Roman" w:hAnsi="仿宋_GB2312" w:eastAsia="仿宋_GB2312" w:cs="仿宋_GB2312"/>
          <w:bCs/>
          <w:sz w:val="32"/>
          <w:szCs w:val="32"/>
          <w:u w:val="none"/>
          <w:lang w:val="en-US" w:eastAsia="zh-CN"/>
        </w:rPr>
        <w:t>罚款3000元。</w:t>
      </w:r>
    </w:p>
    <w:p w14:paraId="68B0DE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当事人</w:t>
      </w:r>
      <w:r>
        <w:rPr>
          <w:rFonts w:hint="eastAsia" w:ascii="仿宋_GB2312" w:hAnsi="Times New Roman" w:eastAsia="仿宋_GB2312" w:cs="仿宋_GB2312"/>
          <w:sz w:val="32"/>
          <w:u w:val="none"/>
          <w:lang w:val="en-US" w:eastAsia="zh-CN"/>
        </w:rPr>
        <w:t>未履行进货查验记录制度</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lang w:val="en-US" w:eastAsia="zh-CN"/>
        </w:rPr>
        <w:t>行为，依据</w:t>
      </w:r>
      <w:r>
        <w:rPr>
          <w:rFonts w:hint="eastAsia" w:ascii="仿宋_GB2312" w:hAnsi="仿宋_GB2312" w:eastAsia="仿宋_GB2312" w:cs="仿宋_GB2312"/>
          <w:sz w:val="32"/>
        </w:rPr>
        <w:t>《中华人民共和国食品安全法》第一百二十六条第一款第</w:t>
      </w:r>
      <w:r>
        <w:rPr>
          <w:rFonts w:hint="eastAsia" w:ascii="仿宋_GB2312" w:hAnsi="仿宋_GB2312" w:eastAsia="仿宋_GB2312" w:cs="仿宋_GB2312"/>
          <w:sz w:val="32"/>
          <w:lang w:eastAsia="zh-CN"/>
        </w:rPr>
        <w:t>（十三）</w:t>
      </w:r>
      <w:r>
        <w:rPr>
          <w:rFonts w:hint="eastAsia" w:ascii="仿宋_GB2312" w:hAnsi="仿宋_GB2312" w:eastAsia="仿宋_GB2312" w:cs="仿宋_GB2312"/>
          <w:sz w:val="32"/>
        </w:rPr>
        <w:t>项</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违反本法规定，有下列情形之一的，由县级以上人民政府食品安全监督管理部门责令改正，给予警告；拒不改正的，处五千元以上五万元以下罚款；情节严重的，责令停产停业，直至吊销许可证：（十三）食品生产企业、餐饮服务提供者未按规定制定、实施生产经营过程控制要求。</w:t>
      </w:r>
      <w:r>
        <w:rPr>
          <w:rFonts w:hint="eastAsia" w:ascii="仿宋_GB2312" w:hAnsi="仿宋_GB2312" w:eastAsia="仿宋_GB2312" w:cs="仿宋_GB2312"/>
          <w:sz w:val="32"/>
          <w:lang w:eastAsia="zh-CN"/>
        </w:rPr>
        <w:t>”</w:t>
      </w:r>
      <w:r>
        <w:rPr>
          <w:rFonts w:hint="eastAsia" w:ascii="Times New Roman" w:hAnsi="仿宋_GB2312" w:eastAsia="仿宋_GB2312" w:cs="仿宋_GB2312"/>
          <w:bCs/>
          <w:sz w:val="32"/>
          <w:szCs w:val="32"/>
          <w:u w:val="none"/>
          <w:lang w:val="en-US" w:eastAsia="zh-CN"/>
        </w:rPr>
        <w:t>的规定进行处罚，责令当事人改正，给予警告。</w:t>
      </w:r>
    </w:p>
    <w:p w14:paraId="390157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u w:val="none"/>
        </w:rPr>
      </w:pPr>
      <w:r>
        <w:rPr>
          <w:rFonts w:hint="eastAsia" w:ascii="Times New Roman" w:hAnsi="仿宋_GB2312" w:eastAsia="仿宋_GB2312" w:cs="仿宋_GB2312"/>
          <w:bCs/>
          <w:sz w:val="32"/>
          <w:szCs w:val="32"/>
          <w:u w:val="none"/>
          <w:lang w:val="en-US" w:eastAsia="zh-CN"/>
        </w:rPr>
        <w:t>综上，依据</w:t>
      </w:r>
      <w:r>
        <w:rPr>
          <w:rFonts w:hint="eastAsia" w:ascii="Times New Roman" w:hAnsi="仿宋_GB2312" w:eastAsia="仿宋_GB2312" w:cs="仿宋_GB2312"/>
          <w:bCs/>
          <w:sz w:val="32"/>
          <w:szCs w:val="32"/>
          <w:u w:val="none"/>
        </w:rPr>
        <w:t>《中华人民共和国食品安全法》第一百二十</w:t>
      </w:r>
      <w:r>
        <w:rPr>
          <w:rFonts w:hint="eastAsia" w:ascii="Times New Roman" w:hAnsi="仿宋_GB2312" w:eastAsia="仿宋_GB2312" w:cs="仿宋_GB2312"/>
          <w:bCs/>
          <w:sz w:val="32"/>
          <w:szCs w:val="32"/>
          <w:u w:val="none"/>
          <w:lang w:eastAsia="zh-CN"/>
        </w:rPr>
        <w:t>五</w:t>
      </w:r>
      <w:r>
        <w:rPr>
          <w:rFonts w:hint="eastAsia" w:ascii="Times New Roman" w:hAnsi="仿宋_GB2312" w:eastAsia="仿宋_GB2312" w:cs="仿宋_GB2312"/>
          <w:bCs/>
          <w:sz w:val="32"/>
          <w:szCs w:val="32"/>
          <w:u w:val="none"/>
        </w:rPr>
        <w:t>条第一款第（</w:t>
      </w:r>
      <w:r>
        <w:rPr>
          <w:rFonts w:hint="eastAsia" w:ascii="Times New Roman" w:hAnsi="仿宋_GB2312" w:eastAsia="仿宋_GB2312" w:cs="仿宋_GB2312"/>
          <w:bCs/>
          <w:sz w:val="32"/>
          <w:szCs w:val="32"/>
          <w:u w:val="none"/>
          <w:lang w:eastAsia="zh-CN"/>
        </w:rPr>
        <w:t>四</w:t>
      </w:r>
      <w:r>
        <w:rPr>
          <w:rFonts w:hint="eastAsia" w:ascii="Times New Roman" w:hAnsi="仿宋_GB2312" w:eastAsia="仿宋_GB2312" w:cs="仿宋_GB2312"/>
          <w:bCs/>
          <w:sz w:val="32"/>
          <w:szCs w:val="32"/>
          <w:u w:val="none"/>
        </w:rPr>
        <w:t>）项</w:t>
      </w:r>
      <w:r>
        <w:rPr>
          <w:rFonts w:hint="eastAsia" w:ascii="Times New Roman" w:hAnsi="仿宋_GB2312" w:eastAsia="仿宋_GB2312" w:cs="仿宋_GB2312"/>
          <w:bCs/>
          <w:sz w:val="32"/>
          <w:szCs w:val="32"/>
          <w:u w:val="none"/>
          <w:lang w:eastAsia="zh-CN"/>
        </w:rPr>
        <w:t>、</w:t>
      </w:r>
      <w:r>
        <w:rPr>
          <w:rFonts w:hint="eastAsia" w:ascii="Times New Roman" w:hAnsi="仿宋_GB2312" w:eastAsia="仿宋_GB2312" w:cs="仿宋_GB2312"/>
          <w:bCs/>
          <w:sz w:val="32"/>
          <w:szCs w:val="32"/>
          <w:u w:val="none"/>
          <w:lang w:val="en-US" w:eastAsia="zh-CN"/>
        </w:rPr>
        <w:t>第一百二十六条第一款第（十三）项</w:t>
      </w:r>
      <w:r>
        <w:rPr>
          <w:rFonts w:hint="eastAsia" w:ascii="Times New Roman" w:hAnsi="仿宋_GB2312" w:eastAsia="仿宋_GB2312" w:cs="仿宋_GB2312"/>
          <w:bCs/>
          <w:sz w:val="32"/>
          <w:szCs w:val="32"/>
          <w:u w:val="none"/>
        </w:rPr>
        <w:t>以及</w:t>
      </w:r>
      <w:r>
        <w:rPr>
          <w:rFonts w:hint="eastAsia" w:ascii="Times New Roman" w:hAnsi="仿宋_GB2312" w:eastAsia="仿宋_GB2312" w:cs="仿宋_GB2312"/>
          <w:bCs/>
          <w:sz w:val="32"/>
          <w:szCs w:val="32"/>
          <w:u w:val="none"/>
          <w:lang w:val="en-US" w:eastAsia="zh-CN"/>
        </w:rPr>
        <w:t>《中华人民共和国行政处罚法》第二十八条第一款“行政机关实施行政处罚时，应当责令当事人改正或者限期改正违法行为”的规定，责令当事人立即改正违法行为，</w:t>
      </w:r>
      <w:r>
        <w:rPr>
          <w:rFonts w:hint="eastAsia" w:ascii="仿宋_GB2312" w:hAnsi="仿宋_GB2312" w:eastAsia="仿宋_GB2312" w:cs="仿宋_GB2312"/>
          <w:bCs/>
          <w:color w:val="000000"/>
          <w:sz w:val="32"/>
          <w:szCs w:val="32"/>
          <w:u w:val="none"/>
          <w:lang w:val="en-US" w:eastAsia="zh-CN"/>
        </w:rPr>
        <w:t>经本局案件集体讨论，决定</w:t>
      </w:r>
      <w:r>
        <w:rPr>
          <w:rFonts w:hint="eastAsia" w:ascii="Times New Roman" w:hAnsi="仿宋_GB2312" w:eastAsia="仿宋_GB2312" w:cs="仿宋_GB2312"/>
          <w:bCs/>
          <w:sz w:val="32"/>
          <w:szCs w:val="32"/>
          <w:u w:val="none"/>
          <w:lang w:val="en-US" w:eastAsia="zh-CN"/>
        </w:rPr>
        <w:t>给予当事人以下行政处罚</w:t>
      </w:r>
      <w:r>
        <w:rPr>
          <w:rFonts w:hint="eastAsia" w:ascii="Times New Roman" w:hAnsi="仿宋_GB2312" w:eastAsia="仿宋_GB2312" w:cs="仿宋_GB2312"/>
          <w:bCs/>
          <w:sz w:val="32"/>
          <w:szCs w:val="32"/>
          <w:u w:val="none"/>
          <w:lang w:eastAsia="zh-CN"/>
        </w:rPr>
        <w:t>（</w:t>
      </w:r>
      <w:r>
        <w:rPr>
          <w:rFonts w:hint="eastAsia" w:ascii="Times New Roman" w:hAnsi="仿宋_GB2312" w:eastAsia="仿宋_GB2312" w:cs="仿宋_GB2312"/>
          <w:bCs/>
          <w:sz w:val="32"/>
          <w:szCs w:val="32"/>
          <w:u w:val="none"/>
          <w:lang w:val="en-US" w:eastAsia="zh-CN"/>
        </w:rPr>
        <w:t>减轻</w:t>
      </w:r>
      <w:r>
        <w:rPr>
          <w:rFonts w:hint="eastAsia" w:ascii="Times New Roman" w:hAnsi="仿宋_GB2312" w:eastAsia="仿宋_GB2312" w:cs="仿宋_GB2312"/>
          <w:bCs/>
          <w:sz w:val="32"/>
          <w:szCs w:val="32"/>
          <w:u w:val="none"/>
          <w:lang w:eastAsia="zh-CN"/>
        </w:rPr>
        <w:t>）</w:t>
      </w:r>
      <w:r>
        <w:rPr>
          <w:rFonts w:hint="eastAsia" w:ascii="Times New Roman" w:hAnsi="仿宋_GB2312" w:eastAsia="仿宋_GB2312" w:cs="仿宋_GB2312"/>
          <w:bCs/>
          <w:sz w:val="32"/>
          <w:szCs w:val="32"/>
          <w:u w:val="none"/>
        </w:rPr>
        <w:t>：</w:t>
      </w:r>
      <w:r>
        <w:rPr>
          <w:rFonts w:hint="eastAsia" w:ascii="仿宋_GB2312" w:hAnsi="仿宋_GB2312" w:eastAsia="仿宋_GB2312" w:cs="仿宋_GB2312"/>
          <w:sz w:val="32"/>
          <w:u w:val="none"/>
        </w:rPr>
        <w:t xml:space="preserve"> </w:t>
      </w:r>
    </w:p>
    <w:p w14:paraId="05BE15FA">
      <w:pPr>
        <w:pStyle w:val="3"/>
        <w:keepNext w:val="0"/>
        <w:keepLines w:val="0"/>
        <w:pageBreakBefore w:val="0"/>
        <w:widowControl w:val="0"/>
        <w:tabs>
          <w:tab w:val="left" w:pos="9060"/>
        </w:tabs>
        <w:kinsoku/>
        <w:overflowPunct/>
        <w:topLinePunct w:val="0"/>
        <w:bidi w:val="0"/>
        <w:snapToGrid/>
        <w:spacing w:line="540" w:lineRule="exact"/>
        <w:textAlignment w:val="auto"/>
        <w:rPr>
          <w:rFonts w:ascii="Times New Roman" w:eastAsia="仿宋_GB2312" w:cs="仿宋_GB2312"/>
          <w:b w:val="0"/>
          <w:bCs/>
          <w:color w:val="auto"/>
          <w:u w:val="single"/>
        </w:rPr>
      </w:pPr>
      <w:bookmarkStart w:id="10" w:name="CALCULATE—AJCF—tAjCfes_cXzcfnr"/>
      <w:r>
        <w:rPr>
          <w:rFonts w:hint="eastAsia" w:ascii="仿宋_GB2312" w:hAnsi="仿宋_GB2312" w:eastAsia="仿宋_GB2312" w:cs="仿宋_GB2312"/>
          <w:sz w:val="32"/>
          <w:u w:val="none"/>
          <w:lang w:val="en-US" w:eastAsia="zh-CN"/>
        </w:rPr>
        <w:t>1.</w:t>
      </w:r>
      <w:r>
        <w:rPr>
          <w:rFonts w:hint="eastAsia" w:ascii="仿宋_GB2312" w:hAnsi="仿宋_GB2312" w:eastAsia="仿宋_GB2312" w:cs="仿宋_GB2312"/>
          <w:sz w:val="32"/>
          <w:u w:val="none"/>
        </w:rPr>
        <w:t>警告；</w:t>
      </w:r>
      <w:r>
        <w:rPr>
          <w:rFonts w:hint="eastAsia" w:ascii="仿宋_GB2312" w:hAnsi="仿宋_GB2312" w:eastAsia="仿宋_GB2312" w:cs="仿宋_GB2312"/>
          <w:sz w:val="32"/>
          <w:u w:val="none"/>
        </w:rPr>
        <w:br w:type="textWrapping"/>
      </w:r>
      <w:r>
        <w:rPr>
          <w:rFonts w:hint="eastAsia" w:ascii="仿宋_GB2312" w:hAnsi="仿宋_GB2312" w:eastAsia="仿宋_GB2312" w:cs="仿宋_GB2312"/>
          <w:sz w:val="32"/>
          <w:u w:val="none"/>
        </w:rPr>
        <w:t>2.没收违法所得壹拾柒元叁角陆分（¥17.36）</w:t>
      </w:r>
      <w:r>
        <w:rPr>
          <w:rFonts w:hint="eastAsia" w:ascii="仿宋_GB2312" w:hAnsi="仿宋_GB2312" w:eastAsia="仿宋_GB2312" w:cs="仿宋_GB2312"/>
          <w:sz w:val="32"/>
          <w:u w:val="none"/>
        </w:rPr>
        <w:br w:type="textWrapping"/>
      </w:r>
      <w:r>
        <w:rPr>
          <w:rFonts w:hint="eastAsia" w:ascii="仿宋_GB2312" w:hAnsi="仿宋_GB2312" w:eastAsia="仿宋_GB2312" w:cs="仿宋_GB2312"/>
          <w:sz w:val="32"/>
          <w:u w:val="none"/>
        </w:rPr>
        <w:t>3.罚款叁仟</w:t>
      </w:r>
      <w:r>
        <w:rPr>
          <w:rFonts w:hint="eastAsia" w:ascii="仿宋_GB2312" w:hAnsi="仿宋_GB2312" w:eastAsia="仿宋_GB2312" w:cs="仿宋_GB2312"/>
          <w:sz w:val="32"/>
          <w:u w:val="none"/>
          <w:lang w:val="en-US" w:eastAsia="zh-CN"/>
        </w:rPr>
        <w:t>元</w:t>
      </w:r>
      <w:r>
        <w:rPr>
          <w:rFonts w:hint="eastAsia" w:ascii="仿宋_GB2312" w:hAnsi="仿宋_GB2312" w:eastAsia="仿宋_GB2312" w:cs="仿宋_GB2312"/>
          <w:sz w:val="32"/>
          <w:u w:val="none"/>
        </w:rPr>
        <w:t>整（¥3000）；</w:t>
      </w:r>
      <w:r>
        <w:rPr>
          <w:rFonts w:hint="eastAsia" w:ascii="仿宋_GB2312" w:hAnsi="仿宋_GB2312" w:eastAsia="仿宋_GB2312" w:cs="仿宋_GB2312"/>
          <w:sz w:val="32"/>
          <w:u w:val="none"/>
        </w:rPr>
        <w:br w:type="textWrapping"/>
      </w:r>
      <w:r>
        <w:rPr>
          <w:rFonts w:hint="eastAsia" w:ascii="仿宋_GB2312" w:hAnsi="仿宋_GB2312" w:eastAsia="仿宋_GB2312" w:cs="仿宋_GB2312"/>
          <w:sz w:val="32"/>
          <w:u w:val="none"/>
        </w:rPr>
        <w:t>上述罚没款合计叁仟零壹拾</w:t>
      </w:r>
      <w:r>
        <w:rPr>
          <w:rFonts w:hint="eastAsia" w:ascii="仿宋_GB2312" w:hAnsi="仿宋_GB2312" w:eastAsia="仿宋_GB2312" w:cs="仿宋_GB2312"/>
          <w:sz w:val="32"/>
          <w:u w:val="none"/>
          <w:lang w:val="en-US" w:eastAsia="zh-CN"/>
        </w:rPr>
        <w:t>柒</w:t>
      </w:r>
      <w:r>
        <w:rPr>
          <w:rFonts w:hint="eastAsia" w:ascii="仿宋_GB2312" w:hAnsi="仿宋_GB2312" w:eastAsia="仿宋_GB2312" w:cs="仿宋_GB2312"/>
          <w:sz w:val="32"/>
          <w:u w:val="none"/>
        </w:rPr>
        <w:t>元</w:t>
      </w:r>
      <w:r>
        <w:rPr>
          <w:rFonts w:hint="eastAsia" w:ascii="仿宋_GB2312" w:hAnsi="仿宋_GB2312" w:eastAsia="仿宋_GB2312" w:cs="仿宋_GB2312"/>
          <w:sz w:val="32"/>
          <w:u w:val="none"/>
          <w:lang w:val="en-US" w:eastAsia="zh-CN"/>
        </w:rPr>
        <w:t>叁角陆分</w:t>
      </w:r>
      <w:r>
        <w:rPr>
          <w:rFonts w:hint="eastAsia" w:ascii="仿宋_GB2312" w:hAnsi="仿宋_GB2312" w:eastAsia="仿宋_GB2312" w:cs="仿宋_GB2312"/>
          <w:sz w:val="32"/>
          <w:u w:val="none"/>
        </w:rPr>
        <w:t>（¥30</w:t>
      </w:r>
      <w:r>
        <w:rPr>
          <w:rFonts w:hint="eastAsia" w:ascii="仿宋_GB2312" w:hAnsi="仿宋_GB2312" w:eastAsia="仿宋_GB2312" w:cs="仿宋_GB2312"/>
          <w:sz w:val="32"/>
          <w:u w:val="none"/>
          <w:lang w:val="en-US" w:eastAsia="zh-CN"/>
        </w:rPr>
        <w:t>17.36</w:t>
      </w:r>
      <w:r>
        <w:rPr>
          <w:rFonts w:hint="eastAsia" w:ascii="仿宋_GB2312" w:hAnsi="仿宋_GB2312" w:eastAsia="仿宋_GB2312" w:cs="仿宋_GB2312"/>
          <w:sz w:val="32"/>
          <w:u w:val="none"/>
        </w:rPr>
        <w:t>）。</w:t>
      </w:r>
      <w:bookmarkEnd w:id="10"/>
    </w:p>
    <w:p w14:paraId="1BF7AD25">
      <w:pPr>
        <w:pStyle w:val="3"/>
        <w:keepNext w:val="0"/>
        <w:keepLines w:val="0"/>
        <w:pageBreakBefore w:val="0"/>
        <w:widowControl w:val="0"/>
        <w:numPr>
          <w:ilvl w:val="0"/>
          <w:numId w:val="0"/>
        </w:numPr>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eastAsia" w:ascii="Times New Roman" w:hAnsi="Times New Roman" w:eastAsia="仿宋_GB2312" w:cs="仿宋"/>
          <w:b w:val="0"/>
          <w:bCs/>
          <w:color w:val="auto"/>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 xml:space="preserve">依据《中华人民共和国行政处罚法》第六十七条第三款规定，请在接到本处罚决定书之日起十五日内携缴款码到（工、农、中、建）任一银行网点或者网上银行缴纳罚款，也可微信关注山东财政公众号，点击微服务--非税缴费，缴纳罚款。到期不缴纳罚没款的，依据《中华人民共和国行政处罚法》第七十二条的规定，本局将每日按罚款数额的百分之三加处罚款，并依法申请人民法院强制执行。       </w:t>
      </w:r>
    </w:p>
    <w:p w14:paraId="5D6DE897">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4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Times New Roman" w:hAnsi="Times New Roman" w:eastAsia="仿宋_GB2312" w:cs="仿宋"/>
          <w:b w:val="0"/>
          <w:bCs/>
          <w:color w:val="000000"/>
          <w:kern w:val="2"/>
          <w:sz w:val="32"/>
          <w:szCs w:val="32"/>
          <w:u w:val="none"/>
          <w:lang w:val="en-US" w:eastAsia="zh-CN" w:bidi="ar-SA"/>
        </w:rPr>
        <w:t>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07612ED4">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177A686F">
      <w:pPr>
        <w:widowControl/>
        <w:snapToGrid w:val="0"/>
        <w:spacing w:line="520" w:lineRule="exact"/>
        <w:jc w:val="left"/>
        <w:rPr>
          <w:rFonts w:ascii="Times New Roman" w:hAnsi="Times New Roman" w:eastAsia="仿宋_GB2312" w:cs="仿宋_GB2312"/>
          <w:color w:val="auto"/>
          <w:sz w:val="32"/>
          <w:szCs w:val="32"/>
        </w:rPr>
      </w:pPr>
    </w:p>
    <w:p w14:paraId="7C616828">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5620C3B">
      <w:pPr>
        <w:spacing w:line="560" w:lineRule="exact"/>
        <w:ind w:right="640" w:firstLine="601"/>
        <w:jc w:val="right"/>
        <w:rPr>
          <w:rFonts w:ascii="Times New Roman" w:hAnsi="Times New Roman" w:eastAsia="仿宋_GB2312" w:cs="仿宋"/>
          <w:color w:val="auto"/>
          <w:sz w:val="32"/>
          <w:szCs w:val="32"/>
        </w:rPr>
      </w:pPr>
      <w:bookmarkStart w:id="11" w:name="DYNAMIC—DWXX—tAj_dwmc—2"/>
      <w:r>
        <w:rPr>
          <w:rFonts w:hint="eastAsia" w:ascii="Times New Roman" w:hAnsi="Times New Roman" w:eastAsia="仿宋_GB2312" w:cs="仿宋"/>
          <w:color w:val="auto"/>
          <w:sz w:val="32"/>
        </w:rPr>
        <w:t>薛城区市场监督管理局</w:t>
      </w:r>
      <w:bookmarkEnd w:id="11"/>
      <w:r>
        <w:rPr>
          <w:rFonts w:hint="eastAsia" w:ascii="Times New Roman" w:hAnsi="Times New Roman" w:eastAsia="仿宋_GB2312" w:cs="仿宋"/>
          <w:color w:val="auto"/>
          <w:sz w:val="32"/>
          <w:szCs w:val="32"/>
        </w:rPr>
        <w:t xml:space="preserve">    </w:t>
      </w:r>
    </w:p>
    <w:p w14:paraId="5C9C65F5">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（印 章）</w:t>
      </w:r>
    </w:p>
    <w:p w14:paraId="143ACE9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2" w:name="CALCULATE—TIME—NOW"/>
      <w:r>
        <w:rPr>
          <w:rFonts w:hint="eastAsia" w:ascii="仿宋_GB2312" w:hAnsi="Times New Roman" w:eastAsia="仿宋_GB2312" w:cs="仿宋"/>
          <w:color w:val="auto"/>
          <w:sz w:val="32"/>
        </w:rPr>
        <w:t>2026年2月10日</w:t>
      </w:r>
      <w:bookmarkEnd w:id="12"/>
      <w:r>
        <w:rPr>
          <w:rFonts w:hint="eastAsia" w:ascii="Times New Roman" w:hAnsi="Times New Roman" w:eastAsia="仿宋_GB2312" w:cs="仿宋_GB2312"/>
          <w:color w:val="auto"/>
          <w:sz w:val="32"/>
          <w:szCs w:val="32"/>
        </w:rPr>
        <w:t xml:space="preserve">  </w:t>
      </w:r>
    </w:p>
    <w:p w14:paraId="54C4151C">
      <w:pPr>
        <w:widowControl/>
        <w:snapToGrid w:val="0"/>
        <w:spacing w:line="520" w:lineRule="exact"/>
        <w:jc w:val="right"/>
        <w:rPr>
          <w:rFonts w:ascii="Times New Roman" w:hAnsi="Times New Roman" w:eastAsia="仿宋_GB2312" w:cs="Mongolian Baiti"/>
          <w:color w:val="auto"/>
          <w:sz w:val="32"/>
          <w:szCs w:val="32"/>
        </w:rPr>
      </w:pPr>
    </w:p>
    <w:p w14:paraId="63595C38">
      <w:pPr>
        <w:pStyle w:val="3"/>
        <w:spacing w:before="1"/>
        <w:ind w:left="163"/>
        <w:jc w:val="center"/>
        <w:rPr>
          <w:rFonts w:hint="eastAsia" w:ascii="黑体" w:hAnsi="黑体" w:eastAsia="黑体"/>
          <w:color w:val="auto"/>
          <w:spacing w:val="-16"/>
        </w:rPr>
      </w:pPr>
    </w:p>
    <w:p w14:paraId="575ABB43">
      <w:pPr>
        <w:pStyle w:val="3"/>
        <w:spacing w:before="1"/>
        <w:ind w:left="163"/>
        <w:jc w:val="center"/>
        <w:rPr>
          <w:rFonts w:hint="eastAsia" w:ascii="黑体" w:hAnsi="黑体" w:eastAsia="黑体"/>
          <w:color w:val="auto"/>
          <w:spacing w:val="-16"/>
        </w:rPr>
      </w:pPr>
    </w:p>
    <w:p w14:paraId="6C5D57C5">
      <w:pPr>
        <w:pStyle w:val="3"/>
        <w:spacing w:before="1"/>
        <w:ind w:left="163"/>
        <w:jc w:val="center"/>
        <w:rPr>
          <w:rFonts w:hint="eastAsia" w:ascii="黑体" w:hAnsi="黑体" w:eastAsia="黑体"/>
          <w:color w:val="auto"/>
          <w:spacing w:val="-16"/>
        </w:rPr>
      </w:pPr>
    </w:p>
    <w:p w14:paraId="57788021">
      <w:pPr>
        <w:pStyle w:val="3"/>
        <w:spacing w:before="1"/>
        <w:ind w:left="163"/>
        <w:jc w:val="center"/>
        <w:rPr>
          <w:rFonts w:hint="eastAsia" w:ascii="黑体" w:hAnsi="黑体" w:eastAsia="黑体"/>
          <w:color w:val="auto"/>
          <w:spacing w:val="-16"/>
        </w:rPr>
      </w:pPr>
    </w:p>
    <w:p w14:paraId="0A2AE723">
      <w:pPr>
        <w:pStyle w:val="3"/>
        <w:spacing w:before="1"/>
        <w:ind w:left="163"/>
        <w:jc w:val="center"/>
        <w:rPr>
          <w:rFonts w:hint="eastAsia" w:ascii="黑体" w:hAnsi="黑体" w:eastAsia="黑体"/>
          <w:color w:val="auto"/>
          <w:spacing w:val="-16"/>
        </w:rPr>
      </w:pPr>
    </w:p>
    <w:p w14:paraId="5A47480E">
      <w:pPr>
        <w:pStyle w:val="3"/>
        <w:spacing w:before="1"/>
        <w:jc w:val="center"/>
        <w:rPr>
          <w:rFonts w:ascii="Times New Roman" w:hAnsi="Times New Roman" w:eastAsia="仿宋_GB2312" w:cs="仿宋"/>
          <w:bCs/>
          <w:color w:val="auto"/>
          <w:sz w:val="44"/>
          <w:szCs w:val="44"/>
        </w:rPr>
      </w:pPr>
      <w:bookmarkStart w:id="13" w:name="_GoBack"/>
      <w:bookmarkEnd w:id="13"/>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77C8BB8F">
      <w:pPr>
        <w:spacing w:line="500" w:lineRule="exact"/>
        <w:jc w:val="center"/>
        <w:rPr>
          <w:color w:val="auto"/>
        </w:rPr>
      </w:pP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lang w:val="en-US" w:eastAsia="zh-CN"/>
        </w:rPr>
        <w:t>二</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lang w:val="en-US" w:eastAsia="zh-CN"/>
        </w:rPr>
        <w:t>一</w:t>
      </w:r>
      <w:r>
        <w:rPr>
          <w:rFonts w:hint="eastAsia" w:ascii="Times New Roman" w:hAnsi="Times New Roman" w:eastAsia="仿宋_GB2312" w:cs="仿宋"/>
          <w:color w:val="auto"/>
          <w:sz w:val="32"/>
          <w:szCs w:val="32"/>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B7654A8"/>
    <w:rsid w:val="0CF71776"/>
    <w:rsid w:val="0EA75D24"/>
    <w:rsid w:val="103E22C5"/>
    <w:rsid w:val="1350279A"/>
    <w:rsid w:val="14203063"/>
    <w:rsid w:val="143E1E38"/>
    <w:rsid w:val="152E563E"/>
    <w:rsid w:val="15B93156"/>
    <w:rsid w:val="18325353"/>
    <w:rsid w:val="18B229B2"/>
    <w:rsid w:val="19C6383E"/>
    <w:rsid w:val="19FE4517"/>
    <w:rsid w:val="1AE345F4"/>
    <w:rsid w:val="1C9C2B08"/>
    <w:rsid w:val="1DA4420A"/>
    <w:rsid w:val="1F2B5D07"/>
    <w:rsid w:val="1FD31F15"/>
    <w:rsid w:val="200F2D0A"/>
    <w:rsid w:val="236534A4"/>
    <w:rsid w:val="244E1F2B"/>
    <w:rsid w:val="24626694"/>
    <w:rsid w:val="258D6CE0"/>
    <w:rsid w:val="2B1B3EFC"/>
    <w:rsid w:val="2CEA3815"/>
    <w:rsid w:val="2DE10173"/>
    <w:rsid w:val="2E245F09"/>
    <w:rsid w:val="2F327E79"/>
    <w:rsid w:val="2F7CE1EF"/>
    <w:rsid w:val="30DB5683"/>
    <w:rsid w:val="342602B0"/>
    <w:rsid w:val="3585615B"/>
    <w:rsid w:val="368E5656"/>
    <w:rsid w:val="3765169A"/>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BD32FF0"/>
    <w:rsid w:val="4C02380F"/>
    <w:rsid w:val="4CC8271B"/>
    <w:rsid w:val="4D9306AE"/>
    <w:rsid w:val="4E8950D9"/>
    <w:rsid w:val="4F0457DF"/>
    <w:rsid w:val="547C0750"/>
    <w:rsid w:val="57503162"/>
    <w:rsid w:val="591F0542"/>
    <w:rsid w:val="5BA419F7"/>
    <w:rsid w:val="5BF91583"/>
    <w:rsid w:val="5BFB2E57"/>
    <w:rsid w:val="5DD7483B"/>
    <w:rsid w:val="5E1E07CB"/>
    <w:rsid w:val="5E5FAB03"/>
    <w:rsid w:val="5E7F4FA6"/>
    <w:rsid w:val="5F9FEDD5"/>
    <w:rsid w:val="5FBEF003"/>
    <w:rsid w:val="5FE33914"/>
    <w:rsid w:val="5FFA4D85"/>
    <w:rsid w:val="602422E6"/>
    <w:rsid w:val="60B635F2"/>
    <w:rsid w:val="612E7E8C"/>
    <w:rsid w:val="64E43803"/>
    <w:rsid w:val="66733921"/>
    <w:rsid w:val="68B04FC3"/>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3E0A71"/>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2466</Words>
  <Characters>2684</Characters>
  <Lines>0</Lines>
  <Paragraphs>0</Paragraphs>
  <TotalTime>4</TotalTime>
  <ScaleCrop>false</ScaleCrop>
  <LinksUpToDate>false</LinksUpToDate>
  <CharactersWithSpaces>2954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2026-02-10T06:12:46Z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eyJoZGlkIjoiMGNkNGMyMzk0NmZlZDdkMzVkYmVhZDU5NmVjNGRjYjkiLCJ1c2VySWQiOiIxNDk1MTk4OTE4In0=</vt:lpwstr>
  </property>
</Properties>
</file>