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3CD8C">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000000"/>
          <w:sz w:val="44"/>
          <w:u w:val="none"/>
        </w:rPr>
        <w:t>薛城区市场监督管理局</w:t>
      </w:r>
      <w:bookmarkEnd w:id="0"/>
    </w:p>
    <w:p w14:paraId="7D263371">
      <w:pPr>
        <w:pStyle w:val="2"/>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000000"/>
          <w:sz w:val="44"/>
          <w:szCs w:val="44"/>
          <w:u w:val="none"/>
          <w:lang w:val="en-US"/>
        </w:rPr>
        <w:t>行政处罚</w:t>
      </w:r>
      <w:r>
        <w:rPr>
          <w:rFonts w:hint="eastAsia" w:hAnsi="方正小标宋简体" w:eastAsia="方正小标宋简体" w:cs="方正小标宋简体"/>
          <w:color w:val="000000"/>
          <w:sz w:val="44"/>
          <w:szCs w:val="44"/>
          <w:u w:val="none"/>
          <w:lang w:val="en-US" w:eastAsia="zh-Hans"/>
        </w:rPr>
        <w:t>决定</w:t>
      </w:r>
      <w:r>
        <w:rPr>
          <w:rFonts w:hint="eastAsia" w:hAnsi="方正小标宋简体" w:eastAsia="方正小标宋简体" w:cs="方正小标宋简体"/>
          <w:color w:val="000000"/>
          <w:sz w:val="44"/>
          <w:szCs w:val="44"/>
          <w:u w:val="none"/>
          <w:lang w:val="en-US"/>
        </w:rPr>
        <w:t>书</w:t>
      </w:r>
      <w:bookmarkEnd w:id="1"/>
    </w:p>
    <w:p w14:paraId="7EA39DC5">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000000"/>
          <w:sz w:val="32"/>
          <w:u w:val="none"/>
        </w:rPr>
        <w:t>薛市监处罚〔2026〕21号</w:t>
      </w:r>
      <w:bookmarkEnd w:id="2"/>
    </w:p>
    <w:p w14:paraId="01D329AB">
      <w:pPr>
        <w:keepNext w:val="0"/>
        <w:keepLines w:val="0"/>
        <w:pageBreakBefore w:val="0"/>
        <w:kinsoku/>
        <w:overflowPunct/>
        <w:topLinePunct w:val="0"/>
        <w:bidi w:val="0"/>
        <w:snapToGrid/>
        <w:spacing w:before="315" w:beforeLines="100" w:line="460" w:lineRule="exact"/>
        <w:ind w:left="142" w:hanging="142"/>
        <w:textAlignment w:val="auto"/>
        <w:rPr>
          <w:rFonts w:hint="eastAsia" w:ascii="Times New Roman" w:hAnsi="Times New Roman" w:eastAsia="仿宋_GB2312" w:cs="Mongolian Baiti"/>
          <w:b w:val="0"/>
          <w:bCs/>
          <w:color w:val="auto"/>
          <w:sz w:val="32"/>
          <w:szCs w:val="32"/>
          <w:u w:val="none" w:color="auto"/>
          <w:lang w:val="en-US" w:eastAsia="zh-CN"/>
        </w:rPr>
      </w:pPr>
      <w:r>
        <w:rPr>
          <w:rFonts w:hint="eastAsia" w:ascii="Times New Roman" w:hAnsi="Times New Roman" w:eastAsia="仿宋_GB2312" w:cs="Mongolian Baiti"/>
          <w:b w:val="0"/>
          <w:bCs/>
          <w:color w:val="000000"/>
          <w:kern w:val="1"/>
          <w:sz w:val="32"/>
          <w:szCs w:val="32"/>
          <w:u w:val="none" w:color="auto"/>
        </w:rPr>
        <w:t>当事人：</w:t>
      </w:r>
      <w:bookmarkStart w:id="3" w:name="CALCULATE—DSR—tAjDsrs_cMc"/>
      <w:r>
        <w:rPr>
          <w:rFonts w:hint="eastAsia" w:ascii="Times New Roman" w:hAnsi="Times New Roman" w:eastAsia="仿宋_GB2312" w:cs="Mongolian Baiti"/>
          <w:b w:val="0"/>
          <w:color w:val="000000"/>
          <w:sz w:val="32"/>
          <w:u w:val="none" w:color="auto"/>
        </w:rPr>
        <w:t>薛城区刘家辣子鸡店</w:t>
      </w:r>
      <w:bookmarkEnd w:id="3"/>
      <w:r>
        <w:rPr>
          <w:rFonts w:hint="default" w:ascii="Times New Roman" w:hAnsi="Times New Roman" w:eastAsia="仿宋_GB2312" w:cs="Mongolian Baiti"/>
          <w:b w:val="0"/>
          <w:bCs/>
          <w:color w:val="000000"/>
          <w:kern w:val="1"/>
          <w:sz w:val="32"/>
          <w:szCs w:val="32"/>
          <w:u w:val="none" w:color="auto"/>
        </w:rPr>
        <w:t xml:space="preserve">  </w:t>
      </w:r>
      <w:r>
        <w:rPr>
          <w:rFonts w:hint="eastAsia" w:ascii="Times New Roman" w:hAnsi="Times New Roman" w:eastAsia="仿宋_GB2312" w:cs="Mongolian Baiti"/>
          <w:b w:val="0"/>
          <w:bCs/>
          <w:color w:val="000000"/>
          <w:kern w:val="1"/>
          <w:sz w:val="32"/>
          <w:szCs w:val="32"/>
          <w:u w:val="none" w:color="auto"/>
        </w:rPr>
        <w:t xml:space="preserve">   </w:t>
      </w:r>
      <w:r>
        <w:rPr>
          <w:rFonts w:hint="default" w:ascii="Times New Roman" w:hAnsi="Times New Roman" w:eastAsia="仿宋_GB2312" w:cs="Mongolian Baiti"/>
          <w:b w:val="0"/>
          <w:bCs/>
          <w:color w:val="000000"/>
          <w:kern w:val="1"/>
          <w:sz w:val="32"/>
          <w:szCs w:val="32"/>
          <w:u w:val="none" w:color="auto"/>
        </w:rPr>
        <w:t xml:space="preserve"> </w:t>
      </w:r>
      <w:r>
        <w:rPr>
          <w:rFonts w:hint="eastAsia" w:ascii="Times New Roman" w:hAnsi="Times New Roman" w:eastAsia="仿宋_GB2312" w:cs="Mongolian Baiti"/>
          <w:b w:val="0"/>
          <w:bCs/>
          <w:color w:val="000000"/>
          <w:kern w:val="1"/>
          <w:sz w:val="32"/>
          <w:szCs w:val="32"/>
          <w:u w:val="none" w:color="auto"/>
        </w:rPr>
        <w:t xml:space="preserve">                                      </w:t>
      </w:r>
    </w:p>
    <w:p w14:paraId="3CFD1A68">
      <w:pPr>
        <w:keepNext w:val="0"/>
        <w:keepLines w:val="0"/>
        <w:pageBreakBefore w:val="0"/>
        <w:kinsoku/>
        <w:overflowPunct/>
        <w:topLinePunct w:val="0"/>
        <w:bidi w:val="0"/>
        <w:snapToGrid/>
        <w:spacing w:line="460" w:lineRule="exact"/>
        <w:ind w:left="140" w:hanging="140"/>
        <w:textAlignment w:val="auto"/>
        <w:rPr>
          <w:rFonts w:hint="eastAsia" w:ascii="Times New Roman" w:hAnsi="Times New Roman" w:eastAsia="仿宋_GB2312" w:cs="Mongolian Baiti"/>
          <w:b w:val="0"/>
          <w:bCs/>
          <w:color w:val="auto"/>
          <w:kern w:val="1"/>
          <w:sz w:val="32"/>
          <w:szCs w:val="32"/>
          <w:u w:val="none" w:color="auto"/>
        </w:rPr>
      </w:pPr>
      <w:r>
        <w:rPr>
          <w:rFonts w:hint="eastAsia" w:ascii="Times New Roman" w:hAnsi="Times New Roman" w:eastAsia="仿宋_GB2312" w:cs="微软雅黑"/>
          <w:b w:val="0"/>
          <w:bCs/>
          <w:color w:val="000000"/>
          <w:kern w:val="1"/>
          <w:sz w:val="32"/>
          <w:szCs w:val="32"/>
          <w:u w:val="none" w:color="auto"/>
        </w:rPr>
        <w:t>主体资格证照</w:t>
      </w:r>
      <w:r>
        <w:rPr>
          <w:rFonts w:hint="eastAsia" w:ascii="Times New Roman" w:hAnsi="Times New Roman" w:eastAsia="仿宋_GB2312" w:cs="Mongolian Baiti"/>
          <w:b w:val="0"/>
          <w:bCs/>
          <w:color w:val="000000"/>
          <w:kern w:val="1"/>
          <w:sz w:val="32"/>
          <w:szCs w:val="32"/>
          <w:u w:val="none" w:color="auto"/>
        </w:rPr>
        <w:t>名称：</w:t>
      </w:r>
      <w:bookmarkStart w:id="4" w:name="CALCULATE—DSR—tAjDsrs_cZtzgzzmc"/>
      <w:r>
        <w:rPr>
          <w:rFonts w:hint="eastAsia" w:ascii="Times New Roman" w:hAnsi="Times New Roman" w:eastAsia="仿宋_GB2312" w:cs="Mongolian Baiti"/>
          <w:b w:val="0"/>
          <w:color w:val="000000"/>
          <w:sz w:val="32"/>
          <w:u w:val="none" w:color="auto"/>
        </w:rPr>
        <w:t>营业执照</w:t>
      </w:r>
      <w:bookmarkEnd w:id="4"/>
      <w:r>
        <w:rPr>
          <w:rFonts w:hint="eastAsia" w:ascii="Times New Roman" w:hAnsi="Times New Roman" w:eastAsia="仿宋_GB2312" w:cs="Mongolian Baiti"/>
          <w:b w:val="0"/>
          <w:bCs/>
          <w:color w:val="000000"/>
          <w:kern w:val="1"/>
          <w:sz w:val="32"/>
          <w:szCs w:val="32"/>
          <w:u w:val="none" w:color="auto"/>
        </w:rPr>
        <w:t xml:space="preserve">                                  </w:t>
      </w:r>
    </w:p>
    <w:p w14:paraId="6112D816">
      <w:pPr>
        <w:keepNext w:val="0"/>
        <w:keepLines w:val="0"/>
        <w:pageBreakBefore w:val="0"/>
        <w:kinsoku/>
        <w:overflowPunct/>
        <w:topLinePunct w:val="0"/>
        <w:bidi w:val="0"/>
        <w:snapToGrid/>
        <w:spacing w:line="460" w:lineRule="exact"/>
        <w:ind w:left="140" w:hanging="140"/>
        <w:textAlignment w:val="auto"/>
        <w:rPr>
          <w:rFonts w:hint="default" w:ascii="Times New Roman" w:hAnsi="Times New Roman" w:eastAsia="仿宋_GB2312" w:cs="Mongolian Baiti"/>
          <w:b w:val="0"/>
          <w:bCs/>
          <w:color w:val="auto"/>
          <w:kern w:val="1"/>
          <w:sz w:val="32"/>
          <w:szCs w:val="32"/>
          <w:u w:val="none" w:color="auto"/>
          <w:lang w:val="en-US" w:eastAsia="zh-CN"/>
        </w:rPr>
      </w:pPr>
      <w:r>
        <w:rPr>
          <w:rFonts w:hint="eastAsia" w:ascii="Times New Roman" w:hAnsi="Times New Roman" w:eastAsia="仿宋_GB2312" w:cs="Mongolian Baiti"/>
          <w:b w:val="0"/>
          <w:bCs/>
          <w:color w:val="000000"/>
          <w:kern w:val="1"/>
          <w:sz w:val="32"/>
          <w:szCs w:val="32"/>
          <w:u w:val="none" w:color="auto"/>
        </w:rPr>
        <w:t>统一社会信用代码：</w:t>
      </w:r>
      <w:bookmarkStart w:id="5" w:name="CALCULATE—DSR—tAjDsrs_cTzshxydm"/>
      <w:r>
        <w:rPr>
          <w:rFonts w:hint="eastAsia" w:ascii="Times New Roman" w:hAnsi="Times New Roman" w:eastAsia="仿宋_GB2312" w:cs="Mongolian Baiti"/>
          <w:b w:val="0"/>
          <w:color w:val="000000"/>
          <w:sz w:val="32"/>
          <w:u w:val="none" w:color="auto"/>
        </w:rPr>
        <w:t>92370403MA3WA43X6B</w:t>
      </w:r>
      <w:bookmarkEnd w:id="5"/>
      <w:r>
        <w:rPr>
          <w:rFonts w:hint="eastAsia" w:ascii="Times New Roman" w:hAnsi="Times New Roman" w:eastAsia="仿宋_GB2312" w:cs="Mongolian Baiti"/>
          <w:b w:val="0"/>
          <w:bCs/>
          <w:color w:val="000000"/>
          <w:kern w:val="1"/>
          <w:sz w:val="32"/>
          <w:szCs w:val="32"/>
          <w:u w:val="none" w:color="auto"/>
        </w:rPr>
        <w:t xml:space="preserve">                                  </w:t>
      </w:r>
    </w:p>
    <w:p w14:paraId="6AC0878E">
      <w:pPr>
        <w:keepNext w:val="0"/>
        <w:keepLines w:val="0"/>
        <w:pageBreakBefore w:val="0"/>
        <w:kinsoku/>
        <w:overflowPunct/>
        <w:topLinePunct w:val="0"/>
        <w:bidi w:val="0"/>
        <w:snapToGrid/>
        <w:spacing w:line="460" w:lineRule="exact"/>
        <w:ind w:left="140" w:hanging="140"/>
        <w:textAlignment w:val="auto"/>
        <w:rPr>
          <w:rFonts w:hint="eastAsia" w:ascii="仿宋_GB2312" w:hAnsi="方正仿宋_GBK" w:eastAsia="仿宋_GB2312"/>
          <w:b w:val="0"/>
          <w:bCs/>
          <w:color w:val="auto"/>
          <w:u w:val="none" w:color="auto"/>
        </w:rPr>
      </w:pPr>
      <w:r>
        <w:rPr>
          <w:rFonts w:hint="eastAsia" w:ascii="Times New Roman" w:hAnsi="Times New Roman" w:eastAsia="仿宋_GB2312" w:cs="Mongolian Baiti"/>
          <w:b w:val="0"/>
          <w:bCs/>
          <w:color w:val="000000"/>
          <w:kern w:val="1"/>
          <w:sz w:val="32"/>
          <w:szCs w:val="32"/>
          <w:u w:val="none" w:color="auto"/>
        </w:rPr>
        <w:t>住所（住址）：</w:t>
      </w:r>
      <w:bookmarkStart w:id="6" w:name="CALCULATE—DSR—tAjDsrs_cLxdzSheng"/>
      <w:r>
        <w:rPr>
          <w:rFonts w:hint="eastAsia" w:ascii="Times New Roman" w:hAnsi="Times New Roman" w:eastAsia="仿宋_GB2312" w:cs="Mongolian Baiti"/>
          <w:b w:val="0"/>
          <w:color w:val="000000"/>
          <w:sz w:val="32"/>
          <w:u w:val="none" w:color="auto"/>
        </w:rPr>
        <w:t>山东省枣庄市薛城区常庄街道钱江路路南6号</w:t>
      </w:r>
      <w:bookmarkEnd w:id="6"/>
      <w:r>
        <w:rPr>
          <w:rFonts w:hint="eastAsia" w:ascii="Times New Roman" w:hAnsi="Times New Roman" w:eastAsia="仿宋_GB2312" w:cs="Mongolian Baiti"/>
          <w:b w:val="0"/>
          <w:bCs/>
          <w:color w:val="000000"/>
          <w:kern w:val="1"/>
          <w:sz w:val="32"/>
          <w:szCs w:val="32"/>
          <w:u w:val="none" w:color="auto"/>
        </w:rPr>
        <w:t xml:space="preserve">                                      </w:t>
      </w:r>
      <w:r>
        <w:rPr>
          <w:rFonts w:hint="eastAsia" w:ascii="Times New Roman" w:hAnsi="Times New Roman" w:eastAsia="仿宋_GB2312" w:cs="Mongolian Baiti"/>
          <w:b w:val="0"/>
          <w:bCs/>
          <w:color w:val="000000"/>
          <w:kern w:val="1"/>
          <w:sz w:val="32"/>
          <w:szCs w:val="32"/>
          <w:u w:val="none" w:color="auto"/>
          <w:lang w:val="en-US" w:eastAsia="zh-CN"/>
        </w:rPr>
        <w:t xml:space="preserve"> </w:t>
      </w:r>
      <w:r>
        <w:rPr>
          <w:rFonts w:hint="eastAsia" w:ascii="Times New Roman" w:hAnsi="Times New Roman" w:eastAsia="仿宋_GB2312" w:cs="Mongolian Baiti"/>
          <w:b w:val="0"/>
          <w:bCs/>
          <w:color w:val="000000"/>
          <w:kern w:val="1"/>
          <w:sz w:val="32"/>
          <w:szCs w:val="32"/>
          <w:u w:val="none" w:color="auto"/>
        </w:rPr>
        <w:t xml:space="preserve">                                     </w:t>
      </w:r>
    </w:p>
    <w:p w14:paraId="36DA9A72">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hint="default" w:ascii="仿宋_GB2312" w:hAnsi="方正仿宋_GBK" w:eastAsia="仿宋_GB2312"/>
          <w:b w:val="0"/>
          <w:bCs/>
          <w:color w:val="auto"/>
          <w:u w:val="none" w:color="auto"/>
          <w:lang w:val="en-US" w:eastAsia="zh-CN"/>
        </w:rPr>
      </w:pPr>
      <w:bookmarkStart w:id="7" w:name="CALCULATE—AYHC—tAjHc_cHcqkjlaay"/>
      <w:r>
        <w:rPr>
          <w:rFonts w:hint="eastAsia" w:ascii="仿宋_GB2312" w:hAnsi="仿宋_GB2312" w:eastAsia="仿宋_GB2312" w:cs="仿宋_GB2312"/>
          <w:color w:val="000000"/>
          <w:sz w:val="32"/>
          <w:szCs w:val="32"/>
          <w:u w:val="none" w:color="auto"/>
        </w:rPr>
        <w:t>2025年11月12日，枣庄市市场监督管理局委托山东众合天成检验有限公司对当事人购进使用的辣椒进行食品安全监督抽检。经抽样检验，噻虫胺项目不符合GB2763-2021《食品安全国家标准 食品中农药最大残留限量》要求，检验结论为不合格，报告编号：No:ZZK10816/461。2025年12月17日，我局执法人员将上述报告送达当事人，并告知其如对检验结果有</w:t>
      </w:r>
      <w:r>
        <w:rPr>
          <w:rFonts w:hint="eastAsia" w:ascii="仿宋_GB2312" w:hAnsi="仿宋_GB2312" w:eastAsia="仿宋_GB2312" w:cs="仿宋_GB2312"/>
          <w:color w:val="000000"/>
          <w:sz w:val="32"/>
          <w:szCs w:val="32"/>
          <w:u w:val="none" w:color="auto"/>
          <w:lang w:eastAsia="zh-CN"/>
        </w:rPr>
        <w:t>异议</w:t>
      </w:r>
      <w:r>
        <w:rPr>
          <w:rFonts w:hint="eastAsia" w:ascii="仿宋_GB2312" w:hAnsi="仿宋_GB2312" w:eastAsia="仿宋_GB2312" w:cs="仿宋_GB2312"/>
          <w:color w:val="000000"/>
          <w:sz w:val="32"/>
          <w:szCs w:val="32"/>
          <w:u w:val="none" w:color="auto"/>
        </w:rPr>
        <w:t>，可在收到检验报告之日起7个工作日内提出书面复检申请，逾期视为放弃该项权利。现场检查未发现被抽检批次不合格辣椒。 当事人涉嫌采购不符合食品安全标准的辣椒的行为，违反了《中华人民共和国食品安全法》第五十五条第一款的规定，申请予以立案。</w:t>
      </w:r>
      <w:bookmarkEnd w:id="7"/>
      <w:bookmarkStart w:id="8" w:name="CALCULATE—QZCS—tAjqzcses_qzcsxx"/>
      <w:r>
        <w:rPr>
          <w:rFonts w:hint="eastAsia" w:ascii="仿宋_GB2312" w:hAnsi="仿宋_GB2312" w:eastAsia="仿宋_GB2312" w:cs="仿宋_GB2312"/>
          <w:color w:val="000000"/>
          <w:sz w:val="32"/>
          <w:szCs w:val="32"/>
          <w:u w:val="none" w:color="auto"/>
          <w:lang w:val="en-US" w:eastAsia="zh-CN"/>
        </w:rPr>
        <w:t xml:space="preserve"> </w:t>
      </w:r>
      <w:bookmarkEnd w:id="8"/>
      <w:r>
        <w:rPr>
          <w:rFonts w:hint="eastAsia" w:ascii="仿宋_GB2312" w:hAnsi="方正仿宋_GBK" w:eastAsia="仿宋_GB2312"/>
          <w:b w:val="0"/>
          <w:bCs/>
          <w:color w:val="000000"/>
          <w:u w:val="none" w:color="auto"/>
          <w:lang w:val="en-US" w:eastAsia="zh-CN"/>
        </w:rPr>
        <w:t xml:space="preserve">            </w:t>
      </w:r>
    </w:p>
    <w:p w14:paraId="52115FBB">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eastAsia="仿宋_GB2312" w:cs="Mongolian Baiti"/>
          <w:b w:val="0"/>
          <w:bCs/>
          <w:color w:val="auto"/>
          <w:kern w:val="1"/>
          <w:sz w:val="32"/>
          <w:szCs w:val="32"/>
          <w:u w:val="none" w:color="auto"/>
          <w:lang w:val="en-US" w:eastAsia="zh-CN"/>
        </w:rPr>
      </w:pPr>
      <w:bookmarkStart w:id="9" w:name="CALCULATE—AJCF—tAjCfes_cAjss"/>
      <w:r>
        <w:rPr>
          <w:rFonts w:hint="eastAsia" w:ascii="仿宋_GB2312" w:hAnsi="仿宋_GB2312" w:eastAsia="仿宋_GB2312" w:cs="仿宋_GB2312"/>
          <w:color w:val="000000"/>
          <w:sz w:val="32"/>
          <w:szCs w:val="32"/>
          <w:u w:val="none" w:color="auto"/>
        </w:rPr>
        <w:t>经查，当事人从北批市场购进涉案辣椒，未留存供货商资质，当事人接报告后联系供货商，供货商不承认涉案辣椒是其所供。涉案辣椒购进6斤，购进价格4.70元/斤，已全部使用（抽检公司抽走4.46斤，剩余店内使用），因辣椒作为配菜使用，无法具体核算其货值和违法所得，故</w:t>
      </w:r>
      <w:r>
        <w:rPr>
          <w:rFonts w:hint="eastAsia" w:ascii="仿宋_GB2312" w:hAnsi="仿宋_GB2312" w:eastAsia="仿宋_GB2312" w:cs="仿宋_GB2312"/>
          <w:color w:val="000000"/>
          <w:sz w:val="32"/>
          <w:szCs w:val="32"/>
          <w:u w:val="none" w:color="auto"/>
          <w:lang w:val="en-US" w:eastAsia="zh-CN"/>
        </w:rPr>
        <w:t>以抽检数量和价格认定</w:t>
      </w:r>
      <w:r>
        <w:rPr>
          <w:rFonts w:hint="eastAsia" w:ascii="仿宋_GB2312" w:hAnsi="仿宋_GB2312" w:eastAsia="仿宋_GB2312" w:cs="仿宋_GB2312"/>
          <w:color w:val="000000"/>
          <w:sz w:val="32"/>
          <w:szCs w:val="32"/>
          <w:u w:val="none" w:color="auto"/>
        </w:rPr>
        <w:t>货值</w:t>
      </w:r>
      <w:r>
        <w:rPr>
          <w:rFonts w:hint="eastAsia" w:ascii="仿宋_GB2312" w:hAnsi="仿宋_GB2312" w:eastAsia="仿宋_GB2312" w:cs="仿宋_GB2312"/>
          <w:color w:val="000000"/>
          <w:sz w:val="32"/>
          <w:szCs w:val="32"/>
          <w:u w:val="none" w:color="auto"/>
          <w:lang w:val="en-US" w:eastAsia="zh-CN"/>
        </w:rPr>
        <w:t>28.20</w:t>
      </w:r>
      <w:r>
        <w:rPr>
          <w:rFonts w:hint="eastAsia" w:ascii="仿宋_GB2312" w:hAnsi="仿宋_GB2312" w:eastAsia="仿宋_GB2312" w:cs="仿宋_GB2312"/>
          <w:color w:val="000000"/>
          <w:sz w:val="32"/>
          <w:szCs w:val="32"/>
          <w:u w:val="none" w:color="auto"/>
        </w:rPr>
        <w:t>元，违法所得</w:t>
      </w:r>
      <w:r>
        <w:rPr>
          <w:rFonts w:hint="eastAsia" w:ascii="仿宋_GB2312" w:hAnsi="仿宋_GB2312" w:eastAsia="仿宋_GB2312" w:cs="仿宋_GB2312"/>
          <w:color w:val="000000"/>
          <w:sz w:val="32"/>
          <w:szCs w:val="32"/>
          <w:u w:val="none" w:color="auto"/>
          <w:lang w:val="en-US" w:eastAsia="zh-CN"/>
        </w:rPr>
        <w:t>20.96</w:t>
      </w:r>
      <w:r>
        <w:rPr>
          <w:rFonts w:hint="eastAsia" w:ascii="仿宋_GB2312" w:hAnsi="仿宋_GB2312" w:eastAsia="仿宋_GB2312" w:cs="仿宋_GB2312"/>
          <w:color w:val="000000"/>
          <w:sz w:val="32"/>
          <w:szCs w:val="32"/>
          <w:u w:val="none" w:color="auto"/>
        </w:rPr>
        <w:t>元。</w:t>
      </w:r>
      <w:bookmarkEnd w:id="9"/>
      <w:r>
        <w:rPr>
          <w:rFonts w:hint="eastAsia" w:ascii="仿宋_GB2312" w:hAnsi="方正仿宋_GBK" w:eastAsia="仿宋_GB2312"/>
          <w:b w:val="0"/>
          <w:bCs/>
          <w:color w:val="000000"/>
          <w:u w:val="none" w:color="auto"/>
          <w:lang w:val="en-US" w:eastAsia="zh-CN"/>
        </w:rPr>
        <w:t xml:space="preserve">            </w:t>
      </w:r>
      <w:r>
        <w:rPr>
          <w:rFonts w:hint="default" w:ascii="仿宋_GB2312" w:hAnsi="方正仿宋_GBK" w:eastAsia="仿宋_GB2312"/>
          <w:b w:val="0"/>
          <w:bCs/>
          <w:color w:val="000000"/>
          <w:u w:val="none" w:color="auto"/>
          <w:lang w:val="en-US" w:eastAsia="zh-CN"/>
        </w:rPr>
        <w:t xml:space="preserve"> </w:t>
      </w:r>
      <w:r>
        <w:rPr>
          <w:rFonts w:hint="eastAsia" w:ascii="仿宋_GB2312" w:hAnsi="方正仿宋_GBK" w:eastAsia="仿宋_GB2312"/>
          <w:b w:val="0"/>
          <w:bCs/>
          <w:color w:val="000000"/>
          <w:u w:val="none" w:color="auto"/>
          <w:lang w:val="en-US" w:eastAsia="zh-CN"/>
        </w:rPr>
        <w:t xml:space="preserve"> </w:t>
      </w:r>
    </w:p>
    <w:p w14:paraId="0B9E9342">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color w:val="000000"/>
          <w:sz w:val="32"/>
          <w:szCs w:val="32"/>
          <w:u w:val="none" w:color="auto"/>
        </w:rPr>
        <w:t>上述事实，主要有以下证据证明：</w:t>
      </w:r>
    </w:p>
    <w:p w14:paraId="047F28E3">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1、《营业执照》《食品经营许可证》复印件各1份，证明当事人具有合法主体资格。</w:t>
      </w:r>
    </w:p>
    <w:p w14:paraId="7B4C94D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u w:val="none" w:color="auto"/>
          <w:lang w:eastAsia="zh-CN"/>
        </w:rPr>
      </w:pPr>
      <w:r>
        <w:rPr>
          <w:rFonts w:hint="eastAsia" w:ascii="仿宋_GB2312" w:hAnsi="仿宋_GB2312" w:eastAsia="仿宋_GB2312" w:cs="仿宋_GB2312"/>
          <w:color w:val="000000"/>
          <w:sz w:val="32"/>
          <w:szCs w:val="32"/>
          <w:u w:val="none" w:color="auto"/>
          <w:lang w:val="en-US" w:eastAsia="zh-CN"/>
        </w:rPr>
        <w:t>2、</w:t>
      </w:r>
      <w:bookmarkStart w:id="14" w:name="_GoBack"/>
      <w:bookmarkEnd w:id="14"/>
      <w:r>
        <w:rPr>
          <w:rFonts w:hint="eastAsia" w:ascii="仿宋_GB2312" w:hAnsi="仿宋_GB2312" w:eastAsia="仿宋_GB2312" w:cs="仿宋_GB2312"/>
          <w:color w:val="000000"/>
          <w:sz w:val="32"/>
          <w:szCs w:val="32"/>
          <w:u w:val="none" w:color="auto"/>
          <w:lang w:eastAsia="zh-CN"/>
        </w:rPr>
        <w:t>身份证</w:t>
      </w:r>
      <w:r>
        <w:rPr>
          <w:rFonts w:hint="eastAsia" w:ascii="仿宋_GB2312" w:hAnsi="仿宋_GB2312" w:eastAsia="仿宋_GB2312" w:cs="仿宋_GB2312"/>
          <w:color w:val="000000"/>
          <w:sz w:val="32"/>
          <w:szCs w:val="32"/>
          <w:u w:val="none" w:color="auto"/>
          <w:lang w:val="en-US" w:eastAsia="zh-CN"/>
        </w:rPr>
        <w:t>复印件1份，证明了被调查人</w:t>
      </w:r>
      <w:r>
        <w:rPr>
          <w:rFonts w:hint="eastAsia" w:ascii="仿宋_GB2312" w:hAnsi="仿宋_GB2312" w:eastAsia="仿宋_GB2312" w:cs="仿宋_GB2312"/>
          <w:color w:val="000000"/>
          <w:sz w:val="32"/>
          <w:szCs w:val="32"/>
          <w:u w:val="none" w:color="auto"/>
        </w:rPr>
        <w:t>身份信息</w:t>
      </w:r>
      <w:r>
        <w:rPr>
          <w:rFonts w:hint="eastAsia" w:ascii="仿宋_GB2312" w:hAnsi="仿宋_GB2312" w:eastAsia="仿宋_GB2312" w:cs="仿宋_GB2312"/>
          <w:color w:val="000000"/>
          <w:sz w:val="32"/>
          <w:szCs w:val="32"/>
          <w:u w:val="none" w:color="auto"/>
          <w:lang w:eastAsia="zh-CN"/>
        </w:rPr>
        <w:t>。</w:t>
      </w:r>
    </w:p>
    <w:p w14:paraId="272614C1">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3、《现场笔录》1份、食品安全抽样检验结果通知书各1份，证明检验报告送达情况。</w:t>
      </w:r>
    </w:p>
    <w:p w14:paraId="1BB3EC36">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4、《检验报告》1份，证明当事人采购使用的辣椒经检验不合格。</w:t>
      </w:r>
    </w:p>
    <w:p w14:paraId="2EC376FB">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5、《询问笔录》1份，证明了涉案产品的购进使用情况。</w:t>
      </w:r>
    </w:p>
    <w:p w14:paraId="21423C8D">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ascii="Times New Roman" w:eastAsia="仿宋_GB2312" w:cs="仿宋_GB2312"/>
          <w:b w:val="0"/>
          <w:bCs/>
          <w:color w:val="auto"/>
          <w:u w:val="none" w:color="auto"/>
        </w:rPr>
      </w:pPr>
      <w:r>
        <w:rPr>
          <w:rFonts w:hint="eastAsia" w:ascii="仿宋_GB2312" w:hAnsi="仿宋_GB2312" w:eastAsia="仿宋_GB2312" w:cs="仿宋_GB2312"/>
          <w:color w:val="000000"/>
          <w:sz w:val="32"/>
          <w:szCs w:val="32"/>
          <w:u w:val="none" w:color="auto"/>
          <w:lang w:val="en-US" w:eastAsia="zh-CN"/>
        </w:rPr>
        <w:t>6、当事人父亲残疾证、户口页复印件，证明了当事人经济困难。</w:t>
      </w:r>
    </w:p>
    <w:p w14:paraId="7995BE23">
      <w:pPr>
        <w:keepNext w:val="0"/>
        <w:keepLines w:val="0"/>
        <w:pageBreakBefore w:val="0"/>
        <w:widowControl w:val="0"/>
        <w:kinsoku/>
        <w:wordWrap/>
        <w:overflowPunct/>
        <w:topLinePunct w:val="0"/>
        <w:bidi w:val="0"/>
        <w:adjustRightInd/>
        <w:snapToGrid/>
        <w:spacing w:line="460" w:lineRule="exact"/>
        <w:ind w:firstLine="640" w:firstLineChars="200"/>
        <w:textAlignment w:val="auto"/>
        <w:rPr>
          <w:rFonts w:hint="default" w:ascii="Times New Roman" w:eastAsia="仿宋_GB2312" w:cs="仿宋_GB2312"/>
          <w:b w:val="0"/>
          <w:bCs/>
          <w:color w:val="auto"/>
          <w:u w:val="none" w:color="auto"/>
          <w:lang w:val="en-US" w:eastAsia="zh-CN"/>
        </w:rPr>
      </w:pPr>
      <w:r>
        <w:rPr>
          <w:rFonts w:hint="eastAsia" w:ascii="仿宋_GB2312" w:hAnsi="仿宋_GB2312" w:eastAsia="仿宋_GB2312" w:cs="仿宋_GB2312"/>
          <w:color w:val="000000"/>
          <w:sz w:val="32"/>
          <w:szCs w:val="32"/>
          <w:u w:val="none" w:color="auto"/>
        </w:rPr>
        <w:t>本局于20</w:t>
      </w:r>
      <w:r>
        <w:rPr>
          <w:rFonts w:hint="eastAsia" w:ascii="仿宋_GB2312" w:hAnsi="仿宋_GB2312" w:eastAsia="仿宋_GB2312" w:cs="仿宋_GB2312"/>
          <w:color w:val="000000"/>
          <w:sz w:val="32"/>
          <w:szCs w:val="32"/>
          <w:u w:val="none" w:color="auto"/>
          <w:lang w:val="en-US" w:eastAsia="zh-CN"/>
        </w:rPr>
        <w:t>26</w:t>
      </w:r>
      <w:r>
        <w:rPr>
          <w:rFonts w:hint="eastAsia" w:ascii="仿宋_GB2312" w:hAnsi="仿宋_GB2312" w:eastAsia="仿宋_GB2312" w:cs="仿宋_GB2312"/>
          <w:color w:val="000000"/>
          <w:sz w:val="32"/>
          <w:szCs w:val="32"/>
          <w:u w:val="none" w:color="auto"/>
        </w:rPr>
        <w:t>年</w:t>
      </w:r>
      <w:r>
        <w:rPr>
          <w:rFonts w:hint="eastAsia" w:ascii="仿宋_GB2312" w:hAnsi="仿宋_GB2312" w:eastAsia="仿宋_GB2312" w:cs="仿宋_GB2312"/>
          <w:color w:val="000000"/>
          <w:sz w:val="32"/>
          <w:szCs w:val="32"/>
          <w:u w:val="none" w:color="auto"/>
          <w:lang w:val="en-US" w:eastAsia="zh-CN"/>
        </w:rPr>
        <w:t>2</w:t>
      </w:r>
      <w:r>
        <w:rPr>
          <w:rFonts w:hint="eastAsia" w:ascii="仿宋_GB2312" w:hAnsi="仿宋_GB2312" w:eastAsia="仿宋_GB2312" w:cs="仿宋_GB2312"/>
          <w:color w:val="000000"/>
          <w:sz w:val="32"/>
          <w:szCs w:val="32"/>
          <w:u w:val="none" w:color="auto"/>
        </w:rPr>
        <w:t>月</w:t>
      </w:r>
      <w:r>
        <w:rPr>
          <w:rFonts w:hint="eastAsia" w:ascii="仿宋_GB2312" w:hAnsi="仿宋_GB2312" w:eastAsia="仿宋_GB2312" w:cs="仿宋_GB2312"/>
          <w:color w:val="000000"/>
          <w:sz w:val="32"/>
          <w:szCs w:val="32"/>
          <w:u w:val="none" w:color="auto"/>
          <w:lang w:val="en-US" w:eastAsia="zh-CN"/>
        </w:rPr>
        <w:t>10</w:t>
      </w:r>
      <w:r>
        <w:rPr>
          <w:rFonts w:hint="eastAsia" w:ascii="仿宋_GB2312" w:hAnsi="仿宋_GB2312" w:eastAsia="仿宋_GB2312" w:cs="仿宋_GB2312"/>
          <w:color w:val="000000"/>
          <w:sz w:val="32"/>
          <w:szCs w:val="32"/>
          <w:u w:val="none" w:color="auto"/>
        </w:rPr>
        <w:t>日下达《行政处罚告知书》，</w:t>
      </w:r>
      <w:r>
        <w:rPr>
          <w:rFonts w:hint="eastAsia" w:ascii="仿宋_GB2312" w:hAnsi="仿宋_GB2312" w:eastAsia="仿宋_GB2312" w:cs="仿宋_GB2312"/>
          <w:color w:val="000000"/>
          <w:sz w:val="32"/>
          <w:szCs w:val="32"/>
          <w:u w:val="none" w:color="auto"/>
          <w:lang w:eastAsia="zh-CN"/>
        </w:rPr>
        <w:t>告知当事人拟作出行政处罚的事实、理由、依据和处罚内容，告知当事人依法享有陈述、申辩的权利。</w:t>
      </w:r>
      <w:r>
        <w:rPr>
          <w:rFonts w:hint="eastAsia" w:ascii="仿宋_GB2312" w:hAnsi="仿宋_GB2312" w:eastAsia="仿宋_GB2312" w:cs="仿宋_GB2312"/>
          <w:color w:val="000000"/>
          <w:sz w:val="32"/>
          <w:szCs w:val="32"/>
          <w:u w:val="none" w:color="auto"/>
        </w:rPr>
        <w:t>在规定时间内</w:t>
      </w:r>
      <w:r>
        <w:rPr>
          <w:rFonts w:hint="eastAsia" w:ascii="仿宋_GB2312" w:hAnsi="仿宋_GB2312" w:eastAsia="仿宋_GB2312" w:cs="仿宋_GB2312"/>
          <w:color w:val="000000"/>
          <w:sz w:val="32"/>
          <w:szCs w:val="32"/>
          <w:u w:val="none" w:color="auto"/>
          <w:lang w:eastAsia="zh-CN"/>
        </w:rPr>
        <w:t>当事人</w:t>
      </w:r>
      <w:r>
        <w:rPr>
          <w:rFonts w:hint="eastAsia" w:ascii="仿宋_GB2312" w:hAnsi="仿宋_GB2312" w:eastAsia="仿宋_GB2312" w:cs="仿宋_GB2312"/>
          <w:color w:val="000000"/>
          <w:sz w:val="32"/>
          <w:szCs w:val="32"/>
          <w:u w:val="none" w:color="auto"/>
        </w:rPr>
        <w:t>没有</w:t>
      </w:r>
      <w:r>
        <w:rPr>
          <w:rFonts w:hint="eastAsia" w:ascii="仿宋_GB2312" w:hAnsi="仿宋_GB2312" w:eastAsia="仿宋_GB2312" w:cs="仿宋_GB2312"/>
          <w:color w:val="000000"/>
          <w:sz w:val="32"/>
          <w:szCs w:val="32"/>
          <w:u w:val="none" w:color="auto"/>
          <w:lang w:eastAsia="zh-CN"/>
        </w:rPr>
        <w:t>提出</w:t>
      </w:r>
      <w:r>
        <w:rPr>
          <w:rFonts w:hint="eastAsia" w:ascii="仿宋_GB2312" w:hAnsi="仿宋_GB2312" w:eastAsia="仿宋_GB2312" w:cs="仿宋_GB2312"/>
          <w:color w:val="000000"/>
          <w:sz w:val="32"/>
          <w:szCs w:val="32"/>
          <w:u w:val="none" w:color="auto"/>
        </w:rPr>
        <w:t>陈述、申辩</w:t>
      </w:r>
      <w:r>
        <w:rPr>
          <w:rFonts w:hint="eastAsia" w:ascii="仿宋_GB2312" w:hAnsi="仿宋_GB2312" w:eastAsia="仿宋_GB2312" w:cs="仿宋_GB2312"/>
          <w:color w:val="000000"/>
          <w:sz w:val="32"/>
          <w:szCs w:val="32"/>
          <w:u w:val="none" w:color="auto"/>
          <w:lang w:eastAsia="zh-CN"/>
        </w:rPr>
        <w:t>意见，视为放弃该权利。</w:t>
      </w:r>
    </w:p>
    <w:p w14:paraId="5C676B92">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color w:val="000000"/>
          <w:sz w:val="32"/>
          <w:szCs w:val="32"/>
          <w:u w:val="none" w:color="auto"/>
          <w:lang w:val="en-US" w:eastAsia="zh-CN"/>
        </w:rPr>
        <w:t>本局认为，</w:t>
      </w:r>
      <w:bookmarkStart w:id="10" w:name="CALCULATE—WFFLFGXX—tAjCfes_cWfflfg—1"/>
      <w:r>
        <w:rPr>
          <w:rFonts w:hint="eastAsia" w:ascii="仿宋_GB2312" w:hAnsi="仿宋_GB2312" w:eastAsia="仿宋_GB2312" w:cs="仿宋_GB2312"/>
          <w:color w:val="000000"/>
          <w:sz w:val="32"/>
          <w:szCs w:val="32"/>
          <w:u w:val="none" w:color="auto"/>
          <w:lang w:val="en-US" w:eastAsia="zh-CN"/>
        </w:rPr>
        <w:t>当事人</w:t>
      </w:r>
      <w:r>
        <w:rPr>
          <w:rFonts w:hint="eastAsia" w:ascii="仿宋_GB2312" w:hAnsi="仿宋_GB2312" w:eastAsia="仿宋_GB2312" w:cs="仿宋_GB2312"/>
          <w:color w:val="000000"/>
          <w:sz w:val="32"/>
          <w:szCs w:val="32"/>
          <w:u w:val="none" w:color="auto"/>
        </w:rPr>
        <w:t>采购不符合食品安全标准辣椒</w:t>
      </w:r>
      <w:r>
        <w:rPr>
          <w:rFonts w:hint="eastAsia" w:ascii="仿宋_GB2312" w:hAnsi="仿宋_GB2312" w:eastAsia="仿宋_GB2312" w:cs="仿宋_GB2312"/>
          <w:color w:val="000000"/>
          <w:sz w:val="32"/>
          <w:szCs w:val="32"/>
          <w:u w:val="none" w:color="auto"/>
          <w:lang w:eastAsia="zh-CN"/>
        </w:rPr>
        <w:t>的</w:t>
      </w:r>
      <w:r>
        <w:rPr>
          <w:rFonts w:hint="eastAsia" w:ascii="仿宋_GB2312" w:hAnsi="仿宋_GB2312" w:eastAsia="仿宋_GB2312" w:cs="仿宋_GB2312"/>
          <w:color w:val="000000"/>
          <w:sz w:val="32"/>
          <w:szCs w:val="32"/>
          <w:u w:val="none" w:color="auto"/>
          <w:lang w:val="en-US" w:eastAsia="zh-CN"/>
        </w:rPr>
        <w:t>行为，违反了</w:t>
      </w:r>
      <w:r>
        <w:rPr>
          <w:rFonts w:hint="eastAsia" w:ascii="仿宋_GB2312" w:hAnsi="仿宋_GB2312" w:eastAsia="仿宋_GB2312" w:cs="仿宋_GB2312"/>
          <w:color w:val="000000"/>
          <w:sz w:val="32"/>
          <w:szCs w:val="32"/>
          <w:u w:val="none" w:color="auto"/>
        </w:rPr>
        <w:t>《中华人民共和国食品安全法》第五十五条第一款</w:t>
      </w:r>
      <w:r>
        <w:rPr>
          <w:rFonts w:hint="eastAsia" w:ascii="仿宋_GB2312" w:hAnsi="仿宋_GB2312" w:eastAsia="仿宋_GB2312" w:cs="仿宋_GB2312"/>
          <w:color w:val="000000"/>
          <w:sz w:val="32"/>
          <w:szCs w:val="32"/>
          <w:u w:val="none" w:color="auto"/>
          <w:lang w:eastAsia="zh-CN"/>
        </w:rPr>
        <w:t>“</w:t>
      </w:r>
      <w:r>
        <w:rPr>
          <w:rFonts w:hint="eastAsia" w:ascii="仿宋_GB2312" w:hAnsi="仿宋_GB2312" w:eastAsia="仿宋_GB2312" w:cs="仿宋_GB2312"/>
          <w:color w:val="000000"/>
          <w:sz w:val="32"/>
          <w:szCs w:val="32"/>
          <w:u w:val="none" w:color="auto"/>
        </w:rPr>
        <w:t>餐饮服务提供者应当制定并实施原料控制要求，不得采购不符合食品安全标准的食品原料。倡导餐饮服务提供者公开加工过程，公示食品原料及其来源等信息。</w:t>
      </w:r>
      <w:bookmarkEnd w:id="10"/>
      <w:r>
        <w:rPr>
          <w:rFonts w:hint="eastAsia" w:ascii="仿宋_GB2312" w:hAnsi="仿宋_GB2312" w:eastAsia="仿宋_GB2312" w:cs="仿宋_GB2312"/>
          <w:color w:val="000000"/>
          <w:sz w:val="32"/>
          <w:szCs w:val="32"/>
          <w:u w:val="none" w:color="auto"/>
          <w:lang w:eastAsia="zh-CN"/>
        </w:rPr>
        <w:t>”</w:t>
      </w:r>
      <w:r>
        <w:rPr>
          <w:rFonts w:hint="eastAsia" w:ascii="仿宋_GB2312" w:hAnsi="仿宋_GB2312" w:eastAsia="仿宋_GB2312" w:cs="仿宋_GB2312"/>
          <w:color w:val="000000"/>
          <w:sz w:val="32"/>
          <w:szCs w:val="32"/>
          <w:u w:val="none" w:color="auto"/>
          <w:lang w:val="en-US" w:eastAsia="zh-CN"/>
        </w:rPr>
        <w:t>的规定。依据《中华人民共和国食品安全法》第一百二十五条第一款第（四）项“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四）食品生产经营者采购或者使用不符合食品安全标准的食品原料、食品添加剂、食品相关产品。”的规定，给予当事人以下处罚：1、没收违法所得贰拾元玖角陆分（¥20.96）；2、罚款人民币贰仟元整（¥2000.00）。</w:t>
      </w:r>
      <w:r>
        <w:rPr>
          <w:rFonts w:hint="eastAsia" w:ascii="仿宋_GB2312" w:hAnsi="仿宋_GB2312" w:eastAsia="仿宋_GB2312" w:cs="仿宋_GB2312"/>
          <w:color w:val="000000"/>
          <w:sz w:val="32"/>
          <w:szCs w:val="32"/>
          <w:u w:val="none" w:color="auto"/>
        </w:rPr>
        <w:t xml:space="preserve">   </w:t>
      </w:r>
    </w:p>
    <w:p w14:paraId="54F5B83C">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Autospacing="0" w:line="460" w:lineRule="exact"/>
        <w:ind w:right="0" w:firstLine="640" w:firstLineChars="200"/>
        <w:jc w:val="left"/>
        <w:textAlignment w:val="auto"/>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当事人未履行进货查验义务的行为，违反了《中华人民共和国食品安全法》第五十三条第一款“食品经营者采购食品，应当查验供货者的许可证和食品出厂检验合格证或者其他合格证明（以下称合格证明文件）。”的规定。 依据《中华人民共和国食品安全法》第一百二十六条第一款第（三）项“违反本法规定，有下列情形之一的，由县级以上人民政府食品安全监督管理部门责令改正，给予警告;拒不改正的，处五千元以上五万元以下罚款;情节严重的，责令停产停业，直至吊销许可证：（三）食品、食品添加剂生产经营者进货时未查验许可证和相关证明文件，或者未按规定建立并遵守进货查验记录、出厂检验记录和销售记录制度；”的规定，责令当事人改正违法行为，并给予警告。</w:t>
      </w:r>
    </w:p>
    <w:p w14:paraId="326A4FED">
      <w:pPr>
        <w:pStyle w:val="3"/>
        <w:keepNext w:val="0"/>
        <w:keepLines w:val="0"/>
        <w:pageBreakBefore w:val="0"/>
        <w:kinsoku/>
        <w:overflowPunct/>
        <w:topLinePunct w:val="0"/>
        <w:bidi w:val="0"/>
        <w:snapToGrid/>
        <w:spacing w:line="460" w:lineRule="exact"/>
        <w:ind w:firstLine="640" w:firstLineChars="200"/>
        <w:textAlignment w:val="auto"/>
        <w:rPr>
          <w:rFonts w:ascii="Droid Sans Fallback"/>
          <w:b w:val="0"/>
          <w:bCs/>
          <w:color w:val="auto"/>
          <w:sz w:val="23"/>
          <w:u w:val="none" w:color="auto"/>
        </w:rPr>
      </w:pPr>
      <w:bookmarkStart w:id="11" w:name="CALCULATE—AJCF—tAjCfes_cZyclsshly"/>
      <w:r>
        <w:rPr>
          <w:rFonts w:hint="eastAsia" w:ascii="仿宋_GB2312" w:hAnsi="仿宋_GB2312" w:eastAsia="仿宋_GB2312" w:cs="仿宋_GB2312"/>
          <w:color w:val="000000"/>
          <w:sz w:val="32"/>
          <w:szCs w:val="32"/>
          <w:u w:val="none" w:color="auto"/>
        </w:rPr>
        <w:t>鉴于该案涉案产品系当事人从他处购进，不知道其农药残留超过食品安全标准限量，并非主观故意；当事人积极配合调查取证，如实提供相关证据材料</w:t>
      </w:r>
      <w:r>
        <w:rPr>
          <w:rFonts w:hint="eastAsia" w:ascii="仿宋_GB2312" w:hAnsi="仿宋_GB2312" w:eastAsia="仿宋_GB2312" w:cs="仿宋_GB2312"/>
          <w:color w:val="000000"/>
          <w:sz w:val="32"/>
          <w:szCs w:val="32"/>
          <w:u w:val="none" w:color="auto"/>
          <w:lang w:eastAsia="zh-CN"/>
        </w:rPr>
        <w:t>；</w:t>
      </w:r>
      <w:r>
        <w:rPr>
          <w:rFonts w:hint="eastAsia" w:ascii="仿宋_GB2312" w:hAnsi="仿宋_GB2312" w:eastAsia="仿宋_GB2312" w:cs="仿宋_GB2312"/>
          <w:color w:val="000000"/>
          <w:sz w:val="32"/>
          <w:szCs w:val="32"/>
          <w:u w:val="none" w:color="auto"/>
          <w:lang w:val="en-US" w:eastAsia="zh-CN"/>
        </w:rPr>
        <w:t>当事人父亲身体残疾，家庭经济困难；</w:t>
      </w:r>
      <w:r>
        <w:rPr>
          <w:rFonts w:hint="eastAsia" w:ascii="仿宋_GB2312" w:hAnsi="仿宋_GB2312" w:eastAsia="仿宋_GB2312" w:cs="仿宋_GB2312"/>
          <w:color w:val="000000"/>
          <w:sz w:val="32"/>
          <w:szCs w:val="32"/>
          <w:u w:val="none" w:color="auto"/>
        </w:rPr>
        <w:t>符合《市场监管总局关于规范市场监督管理行政处罚裁量权的指导意见》第十四条第（二）（五）项“有下列情形之一的，可以依法从轻或者减轻行政处罚：（二）积极配合市场监管部门调查并主动提供证据材料的；（五）当事人因残疾或者</w:t>
      </w:r>
      <w:r>
        <w:rPr>
          <w:rFonts w:hint="eastAsia" w:ascii="仿宋_GB2312" w:hAnsi="仿宋_GB2312" w:eastAsia="仿宋_GB2312" w:cs="仿宋_GB2312"/>
          <w:color w:val="000000"/>
          <w:sz w:val="32"/>
          <w:szCs w:val="32"/>
          <w:u w:val="none" w:color="auto"/>
          <w:lang w:val="en-US" w:eastAsia="zh-CN"/>
        </w:rPr>
        <w:t xml:space="preserve">重大疾病等原因生活确有困难的；”关于减轻处罚考量因素，同时依据《中华人民共和国行政处罚法》第五条第二款“设定和实施行政处罚必须以事实为依据，与违法行为的事实、性质、情节以及社会危害程度相当”以及第六条“实施行政处罚，纠正违法行为，应当坚持处罚与教育相结合，教育公民、法人或者其他组织自觉守法”的规定，决定对当事人减轻处罚。                                  </w:t>
      </w:r>
      <w:bookmarkEnd w:id="11"/>
      <w:r>
        <w:rPr>
          <w:rFonts w:hint="eastAsia" w:ascii="仿宋_GB2312" w:hAnsi="仿宋_GB2312" w:eastAsia="仿宋_GB2312" w:cs="仿宋_GB2312"/>
          <w:color w:val="000000"/>
          <w:sz w:val="32"/>
          <w:szCs w:val="32"/>
          <w:u w:val="none" w:color="auto"/>
          <w:lang w:val="en-US" w:eastAsia="zh-CN"/>
        </w:rPr>
        <w:t xml:space="preserve">            </w:t>
      </w:r>
      <w:r>
        <w:rPr>
          <w:rFonts w:hint="eastAsia" w:ascii="Times New Roman" w:eastAsia="仿宋_GB2312" w:cs="仿宋_GB2312"/>
          <w:b w:val="0"/>
          <w:bCs/>
          <w:color w:val="000000"/>
          <w:u w:val="none" w:color="auto"/>
          <w:lang w:val="en-US" w:eastAsia="zh-CN"/>
        </w:rPr>
        <w:t xml:space="preserve">                  </w:t>
      </w:r>
      <w:r>
        <w:rPr>
          <w:rFonts w:hint="eastAsia" w:ascii="Times New Roman" w:eastAsia="仿宋_GB2312" w:cs="仿宋_GB2312"/>
          <w:b w:val="0"/>
          <w:bCs/>
          <w:color w:val="000000"/>
          <w:u w:val="none" w:color="auto"/>
        </w:rPr>
        <w:t xml:space="preserve">                   </w:t>
      </w:r>
    </w:p>
    <w:p w14:paraId="3CB3CD76">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color w:val="000000"/>
          <w:kern w:val="0"/>
          <w:sz w:val="32"/>
          <w:szCs w:val="32"/>
          <w:u w:val="none" w:color="auto"/>
          <w:lang w:val="en-US" w:eastAsia="zh-CN" w:bidi="ar-SA"/>
        </w:rPr>
        <w:t>综上，同时依据《中华人民共和国行政处罚法》第二十八条“行政机关实施行</w:t>
      </w:r>
      <w:r>
        <w:rPr>
          <w:rFonts w:hint="eastAsia" w:ascii="仿宋_GB2312" w:hAnsi="仿宋_GB2312" w:eastAsia="仿宋_GB2312" w:cs="仿宋_GB2312"/>
          <w:color w:val="000000"/>
          <w:sz w:val="32"/>
          <w:szCs w:val="32"/>
          <w:u w:val="none" w:color="auto"/>
        </w:rPr>
        <w:t>政处罚时，应当责令当事人改正或者限期改正违法行为”的规定，</w:t>
      </w:r>
      <w:r>
        <w:rPr>
          <w:rFonts w:hint="eastAsia" w:ascii="仿宋_GB2312" w:hAnsi="仿宋_GB2312" w:eastAsia="仿宋_GB2312" w:cs="仿宋_GB2312"/>
          <w:color w:val="000000"/>
          <w:sz w:val="32"/>
          <w:szCs w:val="32"/>
          <w:u w:val="none" w:color="auto"/>
          <w:lang w:val="en-US" w:eastAsia="zh-CN"/>
        </w:rPr>
        <w:t>经我局案件集体讨论决定责令当事人改正违法行为，并给予以下处罚：</w:t>
      </w:r>
    </w:p>
    <w:p w14:paraId="659D9135">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color w:val="000000"/>
          <w:sz w:val="32"/>
          <w:szCs w:val="32"/>
          <w:u w:val="none" w:color="auto"/>
        </w:rPr>
        <w:t>1.警告；</w:t>
      </w:r>
    </w:p>
    <w:p w14:paraId="4770072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color w:val="221E1F"/>
          <w:spacing w:val="0"/>
          <w:w w:val="100"/>
          <w:sz w:val="32"/>
          <w:szCs w:val="32"/>
          <w:u w:val="none" w:color="auto"/>
          <w:lang w:val="en-US" w:eastAsia="zh-CN"/>
        </w:rPr>
      </w:pPr>
      <w:r>
        <w:rPr>
          <w:rFonts w:hint="eastAsia" w:ascii="仿宋_GB2312" w:hAnsi="仿宋_GB2312" w:eastAsia="仿宋_GB2312" w:cs="仿宋_GB2312"/>
          <w:color w:val="000000"/>
          <w:spacing w:val="0"/>
          <w:w w:val="100"/>
          <w:sz w:val="32"/>
          <w:szCs w:val="32"/>
          <w:u w:val="none" w:color="auto"/>
          <w:lang w:val="en-US" w:eastAsia="zh-CN"/>
        </w:rPr>
        <w:t>2.没收违法所得贰拾元玖角陆分（¥20.96）；</w:t>
      </w:r>
    </w:p>
    <w:p w14:paraId="0DD3097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color w:val="000000"/>
          <w:spacing w:val="0"/>
          <w:w w:val="100"/>
          <w:sz w:val="32"/>
          <w:szCs w:val="32"/>
          <w:u w:val="none" w:color="auto"/>
          <w:lang w:val="en-US" w:eastAsia="zh-CN"/>
        </w:rPr>
        <w:t>3.罚款人民币贰仟元整（¥2000.00）；</w:t>
      </w:r>
    </w:p>
    <w:p w14:paraId="3C20E20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color w:val="000000"/>
          <w:sz w:val="32"/>
          <w:szCs w:val="32"/>
          <w:u w:val="none" w:color="auto"/>
        </w:rPr>
        <w:t>罚没款共计人民币贰仟</w:t>
      </w:r>
      <w:r>
        <w:rPr>
          <w:rFonts w:hint="eastAsia" w:ascii="仿宋_GB2312" w:hAnsi="仿宋_GB2312" w:eastAsia="仿宋_GB2312" w:cs="仿宋_GB2312"/>
          <w:color w:val="000000"/>
          <w:sz w:val="32"/>
          <w:szCs w:val="32"/>
          <w:u w:val="none" w:color="auto"/>
          <w:lang w:val="en-US" w:eastAsia="zh-CN"/>
        </w:rPr>
        <w:t>零贰拾元玖角陆分</w:t>
      </w:r>
      <w:r>
        <w:rPr>
          <w:rFonts w:hint="eastAsia" w:ascii="仿宋_GB2312" w:hAnsi="仿宋_GB2312" w:eastAsia="仿宋_GB2312" w:cs="仿宋_GB2312"/>
          <w:color w:val="000000"/>
          <w:sz w:val="32"/>
          <w:szCs w:val="32"/>
          <w:u w:val="none" w:color="auto"/>
        </w:rPr>
        <w:t>（¥2</w:t>
      </w:r>
      <w:r>
        <w:rPr>
          <w:rFonts w:hint="eastAsia" w:ascii="仿宋_GB2312" w:hAnsi="仿宋_GB2312" w:eastAsia="仿宋_GB2312" w:cs="仿宋_GB2312"/>
          <w:color w:val="000000"/>
          <w:sz w:val="32"/>
          <w:szCs w:val="32"/>
          <w:u w:val="none" w:color="auto"/>
          <w:lang w:val="en-US" w:eastAsia="zh-CN"/>
        </w:rPr>
        <w:t>020.96</w:t>
      </w:r>
      <w:r>
        <w:rPr>
          <w:rFonts w:hint="eastAsia" w:ascii="仿宋_GB2312" w:hAnsi="仿宋_GB2312" w:eastAsia="仿宋_GB2312" w:cs="仿宋_GB2312"/>
          <w:color w:val="000000"/>
          <w:sz w:val="32"/>
          <w:szCs w:val="32"/>
          <w:u w:val="none" w:color="auto"/>
        </w:rPr>
        <w:t xml:space="preserve">）。 </w:t>
      </w:r>
    </w:p>
    <w:p w14:paraId="14E4B9AB">
      <w:pPr>
        <w:pStyle w:val="3"/>
        <w:keepNext w:val="0"/>
        <w:keepLines w:val="0"/>
        <w:pageBreakBefore w:val="0"/>
        <w:tabs>
          <w:tab w:val="left" w:pos="9060"/>
        </w:tabs>
        <w:kinsoku/>
        <w:overflowPunct/>
        <w:topLinePunct w:val="0"/>
        <w:bidi w:val="0"/>
        <w:snapToGrid/>
        <w:spacing w:line="460" w:lineRule="exact"/>
        <w:ind w:firstLine="320" w:firstLineChars="100"/>
        <w:textAlignment w:val="auto"/>
        <w:rPr>
          <w:rFonts w:ascii="Times New Roman" w:eastAsia="仿宋_GB2312" w:cs="仿宋_GB2312"/>
          <w:b w:val="0"/>
          <w:bCs/>
          <w:color w:val="auto"/>
          <w:u w:val="none" w:color="auto"/>
        </w:rPr>
      </w:pPr>
      <w:r>
        <w:rPr>
          <w:rFonts w:hint="eastAsia" w:ascii="Times New Roman" w:hAnsi="Times New Roman" w:eastAsia="仿宋_GB2312" w:cs="仿宋"/>
          <w:b w:val="0"/>
          <w:bCs/>
          <w:color w:val="000000"/>
          <w:kern w:val="2"/>
          <w:sz w:val="32"/>
          <w:szCs w:val="32"/>
          <w:u w:val="none" w:color="auto"/>
          <w:lang w:val="en-US" w:eastAsia="zh-CN" w:bidi="ar-SA"/>
        </w:rPr>
        <w:t>当事人应当自收到本行政处罚决定之日起十五日内，缴纳罚款，到期不缴纳罚款的，依据《中华人民共和国行政处罚法》第</w:t>
      </w:r>
      <w:r>
        <w:rPr>
          <w:rFonts w:hint="eastAsia" w:ascii="Times New Roman" w:eastAsia="仿宋_GB2312" w:cs="仿宋"/>
          <w:b w:val="0"/>
          <w:bCs/>
          <w:color w:val="000000"/>
          <w:kern w:val="2"/>
          <w:sz w:val="32"/>
          <w:szCs w:val="32"/>
          <w:u w:val="none" w:color="auto"/>
          <w:lang w:val="en-US" w:eastAsia="zh-Hans" w:bidi="ar-SA"/>
        </w:rPr>
        <w:t>七十二</w:t>
      </w:r>
      <w:r>
        <w:rPr>
          <w:rFonts w:hint="eastAsia" w:ascii="Times New Roman" w:hAnsi="Times New Roman" w:eastAsia="仿宋_GB2312" w:cs="仿宋"/>
          <w:b w:val="0"/>
          <w:bCs/>
          <w:color w:val="000000"/>
          <w:kern w:val="2"/>
          <w:sz w:val="32"/>
          <w:szCs w:val="32"/>
          <w:u w:val="none" w:color="auto"/>
          <w:lang w:val="en-US" w:eastAsia="zh-CN" w:bidi="ar-SA"/>
        </w:rPr>
        <w:t xml:space="preserve">条的规定，本局将每日按罚款数额的百分之三加处罚款，并依法申请人民法院强制执行 </w:t>
      </w:r>
      <w:r>
        <w:rPr>
          <w:rFonts w:hint="eastAsia" w:ascii="楷体_GB2312" w:hAnsi="方正仿宋_GBK" w:eastAsia="楷体_GB2312"/>
          <w:b w:val="0"/>
          <w:bCs/>
          <w:color w:val="000000"/>
          <w:u w:val="none" w:color="auto"/>
        </w:rPr>
        <w:t xml:space="preserve">                     </w:t>
      </w:r>
      <w:r>
        <w:rPr>
          <w:rFonts w:hint="eastAsia" w:ascii="Times New Roman" w:eastAsia="仿宋_GB2312" w:cs="仿宋_GB2312"/>
          <w:b w:val="0"/>
          <w:bCs/>
          <w:color w:val="000000"/>
          <w:u w:val="none" w:color="auto"/>
        </w:rPr>
        <w:t xml:space="preserve">                           </w:t>
      </w:r>
    </w:p>
    <w:p w14:paraId="5D07DB56">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460" w:lineRule="exact"/>
        <w:ind w:firstLine="640" w:firstLineChars="200"/>
        <w:textAlignment w:val="auto"/>
        <w:rPr>
          <w:rFonts w:hint="eastAsia" w:ascii="仿宋_GB2312" w:hAnsi="仿宋_GB2312" w:eastAsia="仿宋_GB2312" w:cs="仿宋_GB2312"/>
          <w:b w:val="0"/>
          <w:bCs/>
          <w:color w:val="auto"/>
          <w:kern w:val="2"/>
          <w:sz w:val="32"/>
          <w:szCs w:val="32"/>
          <w:u w:val="none" w:color="auto"/>
          <w:lang w:val="en-US" w:eastAsia="zh-CN" w:bidi="ar-SA"/>
        </w:rPr>
      </w:pPr>
      <w:r>
        <w:rPr>
          <w:rFonts w:hint="eastAsia" w:ascii="仿宋_GB2312" w:hAnsi="仿宋_GB2312" w:eastAsia="仿宋_GB2312" w:cs="仿宋_GB2312"/>
          <w:color w:val="000000"/>
          <w:sz w:val="32"/>
          <w:szCs w:val="32"/>
          <w:u w:val="none" w:color="auto"/>
          <w:lang w:val="en-US" w:eastAsia="zh-CN"/>
        </w:rPr>
        <w:t>当事人如不服本行政处罚决定，可自收到本行政处罚决定书之日起六十日内，依法向薛城区人民政府申请复议；也可以自收到本行政处罚决定书之日起6个月内依法向薛城区人民法院等有管辖权的法院提起行政诉讼。诉讼、复议期间，本行政处罚不停止执行。</w:t>
      </w:r>
      <w:r>
        <w:rPr>
          <w:rFonts w:hint="eastAsia" w:ascii="仿宋_GB2312" w:hAnsi="仿宋_GB2312" w:eastAsia="仿宋_GB2312" w:cs="仿宋_GB2312"/>
          <w:b w:val="0"/>
          <w:bCs/>
          <w:color w:val="000000"/>
          <w:kern w:val="2"/>
          <w:sz w:val="32"/>
          <w:szCs w:val="32"/>
          <w:u w:val="none" w:color="auto"/>
          <w:lang w:val="en-US" w:eastAsia="zh-CN" w:bidi="ar-SA"/>
        </w:rPr>
        <w:t>(网上提交行政复议申请网址:http://124.128.58.185:9082/entrance?redirect=%2Findex)。</w:t>
      </w:r>
    </w:p>
    <w:p w14:paraId="4A5C6DDD">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460" w:lineRule="exact"/>
        <w:ind w:firstLine="640" w:firstLineChars="200"/>
        <w:textAlignment w:val="auto"/>
        <w:rPr>
          <w:rFonts w:hint="default" w:ascii="Times New Roman" w:eastAsia="仿宋_GB2312" w:cs="仿宋_GB2312"/>
          <w:b w:val="0"/>
          <w:bCs/>
          <w:color w:val="auto"/>
          <w:sz w:val="32"/>
          <w:szCs w:val="32"/>
          <w:u w:val="none" w:color="auto"/>
          <w:lang w:val="en-US" w:eastAsia="zh-CN"/>
        </w:rPr>
      </w:pPr>
    </w:p>
    <w:p w14:paraId="195D1D6D">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default" w:ascii="Times New Roman" w:eastAsia="仿宋_GB2312" w:cs="仿宋_GB2312"/>
          <w:b w:val="0"/>
          <w:bCs/>
          <w:color w:val="auto"/>
          <w:u w:val="single"/>
          <w:lang w:val="en-US" w:eastAsia="zh-CN"/>
        </w:rPr>
      </w:pPr>
    </w:p>
    <w:p w14:paraId="177A686F">
      <w:pPr>
        <w:widowControl/>
        <w:snapToGrid w:val="0"/>
        <w:spacing w:line="520" w:lineRule="exact"/>
        <w:jc w:val="left"/>
        <w:rPr>
          <w:rFonts w:ascii="Times New Roman" w:hAnsi="Times New Roman" w:eastAsia="仿宋_GB2312" w:cs="仿宋_GB2312"/>
          <w:color w:val="auto"/>
          <w:sz w:val="32"/>
          <w:szCs w:val="32"/>
        </w:rPr>
      </w:pPr>
    </w:p>
    <w:p w14:paraId="7C616828">
      <w:pPr>
        <w:widowControl/>
        <w:snapToGrid w:val="0"/>
        <w:spacing w:line="520" w:lineRule="exact"/>
        <w:ind w:firstLine="6240" w:firstLineChars="1950"/>
        <w:jc w:val="left"/>
        <w:rPr>
          <w:rFonts w:hint="eastAsia" w:ascii="Times New Roman" w:hAnsi="Times New Roman" w:eastAsia="仿宋_GB2312" w:cs="仿宋_GB2312"/>
          <w:color w:val="auto"/>
          <w:sz w:val="32"/>
          <w:szCs w:val="32"/>
          <w:lang w:val="en-US" w:eastAsia="zh-Hans"/>
        </w:rPr>
      </w:pPr>
    </w:p>
    <w:p w14:paraId="05620C3B">
      <w:pPr>
        <w:spacing w:line="560" w:lineRule="exact"/>
        <w:ind w:right="640" w:firstLine="601"/>
        <w:jc w:val="right"/>
        <w:rPr>
          <w:rFonts w:ascii="Times New Roman" w:hAnsi="Times New Roman" w:eastAsia="仿宋_GB2312" w:cs="仿宋"/>
          <w:color w:val="auto"/>
          <w:sz w:val="32"/>
          <w:szCs w:val="32"/>
        </w:rPr>
      </w:pPr>
      <w:bookmarkStart w:id="12" w:name="DYNAMIC—DWXX—tAj_dwmc—2"/>
      <w:r>
        <w:rPr>
          <w:rFonts w:hint="eastAsia" w:ascii="Times New Roman" w:hAnsi="Times New Roman" w:eastAsia="仿宋_GB2312" w:cs="仿宋"/>
          <w:color w:val="000000"/>
          <w:sz w:val="32"/>
          <w:u w:val="none"/>
        </w:rPr>
        <w:t>薛城区市场监督管理局</w:t>
      </w:r>
      <w:bookmarkEnd w:id="12"/>
      <w:r>
        <w:rPr>
          <w:rFonts w:hint="eastAsia" w:ascii="Times New Roman" w:hAnsi="Times New Roman" w:eastAsia="仿宋_GB2312" w:cs="仿宋"/>
          <w:color w:val="000000"/>
          <w:sz w:val="32"/>
          <w:szCs w:val="32"/>
          <w:u w:val="none"/>
        </w:rPr>
        <w:t xml:space="preserve">    </w:t>
      </w:r>
    </w:p>
    <w:p w14:paraId="5C9C65F5">
      <w:pPr>
        <w:spacing w:line="560" w:lineRule="exact"/>
        <w:ind w:right="640" w:firstLine="601"/>
        <w:jc w:val="right"/>
        <w:outlineLvl w:val="1"/>
        <w:rPr>
          <w:rFonts w:ascii="Times New Roman" w:hAnsi="Times New Roman" w:eastAsia="仿宋_GB2312" w:cs="仿宋"/>
          <w:color w:val="auto"/>
          <w:sz w:val="32"/>
          <w:szCs w:val="32"/>
        </w:rPr>
      </w:pPr>
      <w:r>
        <w:rPr>
          <w:rFonts w:hint="eastAsia" w:ascii="Times New Roman" w:hAnsi="Times New Roman" w:eastAsia="仿宋_GB2312" w:cs="仿宋"/>
          <w:color w:val="000000"/>
          <w:sz w:val="32"/>
          <w:szCs w:val="32"/>
          <w:u w:val="none"/>
        </w:rPr>
        <w:t>（印 章）</w:t>
      </w:r>
    </w:p>
    <w:p w14:paraId="143ACE90">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right"/>
        <w:textAlignment w:val="auto"/>
        <w:outlineLvl w:val="9"/>
        <w:rPr>
          <w:rFonts w:ascii="Times New Roman" w:hAnsi="Times New Roman" w:eastAsia="仿宋_GB2312" w:cs="仿宋_GB2312"/>
          <w:color w:val="auto"/>
          <w:sz w:val="32"/>
          <w:szCs w:val="32"/>
        </w:rPr>
      </w:pPr>
      <w:bookmarkStart w:id="13" w:name="CALCULATE—TIME—NOW"/>
      <w:r>
        <w:rPr>
          <w:rFonts w:ascii="仿宋_GB2312" w:hAnsi="仿宋_GB2312" w:eastAsia="仿宋_GB2312" w:cs="仿宋_GB2312"/>
          <w:sz w:val="32"/>
        </w:rPr>
        <w:t>2026年02月25日</w:t>
      </w:r>
      <w:bookmarkEnd w:id="13"/>
      <w:r>
        <w:rPr>
          <w:rFonts w:hint="eastAsia" w:ascii="Times New Roman" w:hAnsi="Times New Roman" w:eastAsia="仿宋_GB2312" w:cs="仿宋_GB2312"/>
          <w:color w:val="000000"/>
          <w:sz w:val="32"/>
          <w:szCs w:val="32"/>
          <w:u w:val="none"/>
        </w:rPr>
        <w:t xml:space="preserve">  </w:t>
      </w:r>
    </w:p>
    <w:p w14:paraId="54C4151C">
      <w:pPr>
        <w:widowControl/>
        <w:snapToGrid w:val="0"/>
        <w:spacing w:line="520" w:lineRule="exact"/>
        <w:jc w:val="right"/>
        <w:rPr>
          <w:rFonts w:ascii="Times New Roman" w:hAnsi="Times New Roman" w:eastAsia="仿宋_GB2312" w:cs="Mongolian Baiti"/>
          <w:color w:val="auto"/>
          <w:sz w:val="32"/>
          <w:szCs w:val="32"/>
        </w:rPr>
      </w:pPr>
    </w:p>
    <w:p w14:paraId="3B6006CD">
      <w:pPr>
        <w:widowControl/>
        <w:snapToGrid w:val="0"/>
        <w:spacing w:line="520" w:lineRule="exact"/>
        <w:jc w:val="right"/>
        <w:rPr>
          <w:rFonts w:ascii="Times New Roman" w:hAnsi="Times New Roman" w:eastAsia="仿宋_GB2312" w:cs="Mongolian Baiti"/>
          <w:color w:val="auto"/>
          <w:sz w:val="32"/>
          <w:szCs w:val="32"/>
        </w:rPr>
      </w:pPr>
    </w:p>
    <w:p w14:paraId="0A39D2F1">
      <w:pPr>
        <w:widowControl/>
        <w:snapToGrid w:val="0"/>
        <w:spacing w:line="520" w:lineRule="exact"/>
        <w:jc w:val="right"/>
        <w:rPr>
          <w:rFonts w:ascii="Times New Roman" w:hAnsi="Times New Roman" w:eastAsia="仿宋_GB2312" w:cs="Mongolian Baiti"/>
          <w:color w:val="auto"/>
          <w:sz w:val="32"/>
          <w:szCs w:val="32"/>
        </w:rPr>
      </w:pPr>
    </w:p>
    <w:p w14:paraId="7DF0F9DB">
      <w:pPr>
        <w:widowControl/>
        <w:snapToGrid w:val="0"/>
        <w:spacing w:line="520" w:lineRule="exact"/>
        <w:jc w:val="right"/>
        <w:rPr>
          <w:rFonts w:ascii="Times New Roman" w:hAnsi="Times New Roman" w:eastAsia="仿宋_GB2312" w:cs="Mongolian Baiti"/>
          <w:color w:val="auto"/>
          <w:sz w:val="32"/>
          <w:szCs w:val="32"/>
        </w:rPr>
      </w:pPr>
    </w:p>
    <w:p w14:paraId="2F5E03F9">
      <w:pPr>
        <w:widowControl/>
        <w:snapToGrid w:val="0"/>
        <w:spacing w:line="520" w:lineRule="exact"/>
        <w:jc w:val="right"/>
        <w:rPr>
          <w:rFonts w:ascii="Times New Roman" w:hAnsi="Times New Roman" w:eastAsia="仿宋_GB2312" w:cs="Mongolian Baiti"/>
          <w:color w:val="auto"/>
          <w:sz w:val="32"/>
          <w:szCs w:val="32"/>
        </w:rPr>
      </w:pPr>
    </w:p>
    <w:p w14:paraId="5A47480E">
      <w:pPr>
        <w:pStyle w:val="3"/>
        <w:spacing w:before="1"/>
        <w:ind w:left="163"/>
        <w:rPr>
          <w:rFonts w:ascii="Times New Roman" w:hAnsi="Times New Roman" w:eastAsia="仿宋_GB2312" w:cs="仿宋"/>
          <w:bCs/>
          <w:color w:val="auto"/>
          <w:sz w:val="44"/>
          <w:szCs w:val="44"/>
        </w:rPr>
      </w:pPr>
      <w:r>
        <w:rPr>
          <w:rFonts w:ascii="Times New Roman" w:hAnsi="Times New Roman" w:eastAsia="仿宋_GB2312"/>
          <w:color w:val="000000"/>
          <w:sz w:val="32"/>
          <w:u w:val="none"/>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000000"/>
          <w:spacing w:val="-16"/>
          <w:u w:val="none"/>
        </w:rPr>
        <w:t>（市场监督管理部门将依法向社会公开行政处罚决定信息）</w:t>
      </w:r>
    </w:p>
    <w:p w14:paraId="77C8BB8F">
      <w:pPr>
        <w:spacing w:line="500" w:lineRule="exact"/>
        <w:rPr>
          <w:color w:val="auto"/>
        </w:rPr>
      </w:pPr>
      <w:r>
        <w:rPr>
          <w:rFonts w:ascii="Times New Roman" w:hAnsi="Times New Roman" w:eastAsia="仿宋_GB2312" w:cs="仿宋"/>
          <w:bCs/>
          <w:color w:val="000000"/>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u w:val="none"/>
        </w:rPr>
        <w:t xml:space="preserve">本文书一式 </w:t>
      </w:r>
      <w:r>
        <w:rPr>
          <w:rFonts w:hint="eastAsia" w:ascii="Times New Roman" w:hAnsi="Times New Roman" w:eastAsia="仿宋_GB2312" w:cs="仿宋"/>
          <w:color w:val="000000"/>
          <w:sz w:val="32"/>
          <w:szCs w:val="32"/>
          <w:u w:val="none"/>
          <w:lang w:val="en-US" w:eastAsia="zh-CN"/>
        </w:rPr>
        <w:t>二</w:t>
      </w:r>
      <w:r>
        <w:rPr>
          <w:rFonts w:hint="eastAsia" w:ascii="Times New Roman" w:hAnsi="Times New Roman" w:eastAsia="仿宋_GB2312" w:cs="仿宋"/>
          <w:color w:val="000000"/>
          <w:sz w:val="32"/>
          <w:szCs w:val="32"/>
          <w:u w:val="none"/>
        </w:rPr>
        <w:t xml:space="preserve"> 份， </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u w:val="none"/>
        </w:rPr>
        <w:t xml:space="preserve"> 份送达，一份归档。</w:t>
      </w:r>
    </w:p>
    <w:sectPr>
      <w:footerReference r:id="rId3" w:type="default"/>
      <w:pgSz w:w="11906" w:h="16838"/>
      <w:pgMar w:top="1440" w:right="1689" w:bottom="1440" w:left="168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wiss"/>
    <w:pitch w:val="default"/>
    <w:sig w:usb0="00000000" w:usb1="00000000" w:usb2="00000009" w:usb3="00000000" w:csb0="400001FF" w:csb1="FFFF0000"/>
  </w:font>
  <w:font w:name="宋体">
    <w:altName w:val="方正书宋_GBK"/>
    <w:panose1 w:val="02010600030101010101"/>
    <w:charset w:val="88"/>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Mangal">
    <w:altName w:val="C059"/>
    <w:panose1 w:val="00000400000000000000"/>
    <w:charset w:val="00"/>
    <w:family w:val="roman"/>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Arial Unicode MS">
    <w:altName w:val="DejaVu Sans"/>
    <w:panose1 w:val="020B0604020202020204"/>
    <w:charset w:val="86"/>
    <w:family w:val="auto"/>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Mongolian Baiti">
    <w:altName w:val="C059"/>
    <w:panose1 w:val="03000500000000000000"/>
    <w:charset w:val="00"/>
    <w:family w:val="script"/>
    <w:pitch w:val="default"/>
    <w:sig w:usb0="00000000" w:usb1="00000000" w:usb2="00020000" w:usb3="00000000" w:csb0="00000001"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roid Sans Fallback">
    <w:panose1 w:val="020B0502000000000001"/>
    <w:charset w:val="80"/>
    <w:family w:val="modern"/>
    <w:pitch w:val="default"/>
    <w:sig w:usb0="910002FF" w:usb1="2BDFFCFB" w:usb2="00000036" w:usb3="00000000" w:csb0="203F01FF" w:csb1="D7FF0000"/>
  </w:font>
  <w:font w:name="仿宋">
    <w:altName w:val="方正仿宋_GBK"/>
    <w:panose1 w:val="02010609060101010101"/>
    <w:charset w:val="86"/>
    <w:family w:val="auto"/>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D28F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F8B091">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F8B091">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2U5YzI2ZWYzNzA3YjY5MWY2NDE1MjMyNWZjOTUifQ=="/>
    <w:docVar w:name="KSO_WPS_MARK_KEY" w:val="ad3abea3-8ba7-47a2-bc3f-332894d4261f"/>
  </w:docVars>
  <w:rsids>
    <w:rsidRoot w:val="5BA419F7"/>
    <w:rsid w:val="00193C35"/>
    <w:rsid w:val="0032134F"/>
    <w:rsid w:val="02B83402"/>
    <w:rsid w:val="04CD463F"/>
    <w:rsid w:val="04FA4431"/>
    <w:rsid w:val="06BAE61F"/>
    <w:rsid w:val="071C7669"/>
    <w:rsid w:val="0776795A"/>
    <w:rsid w:val="08365B64"/>
    <w:rsid w:val="0B22091D"/>
    <w:rsid w:val="0CF71776"/>
    <w:rsid w:val="103E22C5"/>
    <w:rsid w:val="1350279A"/>
    <w:rsid w:val="14203063"/>
    <w:rsid w:val="143E1E38"/>
    <w:rsid w:val="152E563E"/>
    <w:rsid w:val="15B93156"/>
    <w:rsid w:val="18325353"/>
    <w:rsid w:val="18B229B2"/>
    <w:rsid w:val="19FE4517"/>
    <w:rsid w:val="1AE345F4"/>
    <w:rsid w:val="1C9C2B08"/>
    <w:rsid w:val="1DA4420A"/>
    <w:rsid w:val="1F2B5D07"/>
    <w:rsid w:val="1FD31F15"/>
    <w:rsid w:val="236534A4"/>
    <w:rsid w:val="244E1F2B"/>
    <w:rsid w:val="24626694"/>
    <w:rsid w:val="258D6CE0"/>
    <w:rsid w:val="2B1B3EFC"/>
    <w:rsid w:val="2CEA3815"/>
    <w:rsid w:val="2DE10173"/>
    <w:rsid w:val="2EFFA6EF"/>
    <w:rsid w:val="2F327E79"/>
    <w:rsid w:val="2F7CE1EF"/>
    <w:rsid w:val="30DB5683"/>
    <w:rsid w:val="32215571"/>
    <w:rsid w:val="329628E8"/>
    <w:rsid w:val="342602B0"/>
    <w:rsid w:val="3585615B"/>
    <w:rsid w:val="368E5656"/>
    <w:rsid w:val="377FBB27"/>
    <w:rsid w:val="37F16547"/>
    <w:rsid w:val="38B63DA7"/>
    <w:rsid w:val="3930619F"/>
    <w:rsid w:val="3A4E178D"/>
    <w:rsid w:val="3BF97ECA"/>
    <w:rsid w:val="3C2965F0"/>
    <w:rsid w:val="3F2604DF"/>
    <w:rsid w:val="3F6783E4"/>
    <w:rsid w:val="3FFF82D4"/>
    <w:rsid w:val="402E7C06"/>
    <w:rsid w:val="404F4BE9"/>
    <w:rsid w:val="40FE5F8F"/>
    <w:rsid w:val="425049CE"/>
    <w:rsid w:val="4659781C"/>
    <w:rsid w:val="48A92708"/>
    <w:rsid w:val="48C10000"/>
    <w:rsid w:val="4A256B30"/>
    <w:rsid w:val="4B8F0B22"/>
    <w:rsid w:val="4BD32FF0"/>
    <w:rsid w:val="4C02380F"/>
    <w:rsid w:val="4CC8271B"/>
    <w:rsid w:val="4D9306AE"/>
    <w:rsid w:val="4E8950D9"/>
    <w:rsid w:val="4F0457DF"/>
    <w:rsid w:val="527A5F1B"/>
    <w:rsid w:val="547C0750"/>
    <w:rsid w:val="57503162"/>
    <w:rsid w:val="591F0542"/>
    <w:rsid w:val="59B21D8A"/>
    <w:rsid w:val="5BA419F7"/>
    <w:rsid w:val="5BF91583"/>
    <w:rsid w:val="5BFB2E57"/>
    <w:rsid w:val="5DD7483B"/>
    <w:rsid w:val="5E5FAB03"/>
    <w:rsid w:val="5F9FEDD5"/>
    <w:rsid w:val="5FBEF003"/>
    <w:rsid w:val="5FE33914"/>
    <w:rsid w:val="5FEB4D6D"/>
    <w:rsid w:val="5FFA4D85"/>
    <w:rsid w:val="5FFC52EA"/>
    <w:rsid w:val="602422E6"/>
    <w:rsid w:val="60B635F2"/>
    <w:rsid w:val="612E7E8C"/>
    <w:rsid w:val="64E43803"/>
    <w:rsid w:val="66733921"/>
    <w:rsid w:val="69690BB2"/>
    <w:rsid w:val="6AD7030F"/>
    <w:rsid w:val="6BCC1BB9"/>
    <w:rsid w:val="6D923254"/>
    <w:rsid w:val="6E04767D"/>
    <w:rsid w:val="6E6950E9"/>
    <w:rsid w:val="6F732ABB"/>
    <w:rsid w:val="6FF58B64"/>
    <w:rsid w:val="6FF8F863"/>
    <w:rsid w:val="70CF02CA"/>
    <w:rsid w:val="71013020"/>
    <w:rsid w:val="710D7C3E"/>
    <w:rsid w:val="7376089F"/>
    <w:rsid w:val="75B2DA43"/>
    <w:rsid w:val="75BD90DB"/>
    <w:rsid w:val="77DF8BD4"/>
    <w:rsid w:val="77EFD5CC"/>
    <w:rsid w:val="77FFADAC"/>
    <w:rsid w:val="7B0F6E9A"/>
    <w:rsid w:val="7BFD6076"/>
    <w:rsid w:val="7C142902"/>
    <w:rsid w:val="7C8E43D6"/>
    <w:rsid w:val="7DA813EB"/>
    <w:rsid w:val="7DFEFD4D"/>
    <w:rsid w:val="7DFF108F"/>
    <w:rsid w:val="7EED8AE6"/>
    <w:rsid w:val="7FEADF5C"/>
    <w:rsid w:val="7FEF9CA7"/>
    <w:rsid w:val="91BF8AB9"/>
    <w:rsid w:val="9FF1B21D"/>
    <w:rsid w:val="B7BFD803"/>
    <w:rsid w:val="BD5EB179"/>
    <w:rsid w:val="BD7F788E"/>
    <w:rsid w:val="BDCA9053"/>
    <w:rsid w:val="BFD7FF20"/>
    <w:rsid w:val="CEBAE2ED"/>
    <w:rsid w:val="D5BF2E8D"/>
    <w:rsid w:val="DEFF1EB3"/>
    <w:rsid w:val="DF3F4C88"/>
    <w:rsid w:val="DF7A9960"/>
    <w:rsid w:val="DFBF15D5"/>
    <w:rsid w:val="DFD70EC8"/>
    <w:rsid w:val="DFFE6C63"/>
    <w:rsid w:val="E53DE605"/>
    <w:rsid w:val="E73FE947"/>
    <w:rsid w:val="E775D448"/>
    <w:rsid w:val="ECC7B000"/>
    <w:rsid w:val="EDFFC498"/>
    <w:rsid w:val="EF7E0DB4"/>
    <w:rsid w:val="F0ED2927"/>
    <w:rsid w:val="F3EF5848"/>
    <w:rsid w:val="F5A28C7E"/>
    <w:rsid w:val="F7FC5C1E"/>
    <w:rsid w:val="F96F68AE"/>
    <w:rsid w:val="F9BF6AE4"/>
    <w:rsid w:val="F9EF096B"/>
    <w:rsid w:val="FB57F652"/>
    <w:rsid w:val="FBBF88F6"/>
    <w:rsid w:val="FBFEBC90"/>
    <w:rsid w:val="FCF69F69"/>
    <w:rsid w:val="FD7BEF22"/>
    <w:rsid w:val="FD7FAA0D"/>
    <w:rsid w:val="FD8BB826"/>
    <w:rsid w:val="FD9199D6"/>
    <w:rsid w:val="FDAC17BA"/>
    <w:rsid w:val="FDDF4064"/>
    <w:rsid w:val="FDF46C9E"/>
    <w:rsid w:val="FEAFF630"/>
    <w:rsid w:val="FEDEBCAC"/>
    <w:rsid w:val="FF7F62AA"/>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4">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570</Words>
  <Characters>647</Characters>
  <Lines>0</Lines>
  <Paragraphs>0</Paragraphs>
  <TotalTime>27</TotalTime>
  <ScaleCrop>false</ScaleCrop>
  <LinksUpToDate>false</LinksUpToDate>
  <CharactersWithSpaces>1897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2021-08-03T10:04:00Z</dcterms:created>
  <dc:creator>胖林宝宝噜啦噜～</dc:creator>
  <cp:lastModifiedBy>01sj</cp:lastModifiedBy>
  <dcterms:modified xsi:type="dcterms:W3CDTF">2026-02-26T09:19:29Z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7B75EE118CAA70D1029B9F692AEBC496_43</vt:lpwstr>
  </property>
  <property fmtid="{D5CDD505-2E9C-101B-9397-08002B2CF9AE}" pid="4" name="KSOTemplateDocerSaveRecord">
    <vt:lpwstr>eyJoZGlkIjoiMmZlYWI4OTU2ZDMwYmJlYjM3ODAzMjY4YmJiY2IyOTkiLCJ1c2VySWQiOiI1MzY4Mzk2MTQifQ==</vt:lpwstr>
  </property>
</Properties>
</file>