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7D26337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薛市监处罚〔2026〕23号</w:t>
      </w:r>
      <w:bookmarkEnd w:id="2"/>
    </w:p>
    <w:p w14:paraId="01D329AB">
      <w:pPr>
        <w:keepNext w:val="0"/>
        <w:keepLines w:val="0"/>
        <w:pageBreakBefore w:val="0"/>
        <w:kinsoku/>
        <w:wordWrap w:val="0"/>
        <w:overflowPunct/>
        <w:topLinePunct w:val="0"/>
        <w:bidi w:val="0"/>
        <w:spacing w:before="315" w:beforeLines="100" w:line="420" w:lineRule="exact"/>
        <w:ind w:left="142" w:hanging="142"/>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000000"/>
          <w:kern w:val="1"/>
          <w:sz w:val="32"/>
          <w:szCs w:val="32"/>
          <w:u w:val="none"/>
        </w:rPr>
        <w:t>当事人：</w:t>
      </w:r>
      <w:bookmarkStart w:id="3" w:name="CALCULATE—DSR—tAjDsrs_cMc"/>
      <w:r>
        <w:rPr>
          <w:rFonts w:hint="eastAsia" w:ascii="仿宋" w:hAnsi="仿宋" w:eastAsia="仿宋" w:cs="仿宋"/>
          <w:b w:val="0"/>
          <w:color w:val="000000"/>
          <w:sz w:val="32"/>
          <w:u w:val="none"/>
        </w:rPr>
        <w:t>枣庄薛城区优全品商贸商行（个体工商户）</w:t>
      </w:r>
      <w:bookmarkEnd w:id="3"/>
    </w:p>
    <w:p w14:paraId="3CFD1A68">
      <w:pPr>
        <w:keepNext w:val="0"/>
        <w:keepLines w:val="0"/>
        <w:pageBreakBefore w:val="0"/>
        <w:kinsoku/>
        <w:wordWrap w:val="0"/>
        <w:overflowPunct/>
        <w:topLinePunct w:val="0"/>
        <w:bidi w:val="0"/>
        <w:spacing w:line="420" w:lineRule="exact"/>
        <w:ind w:left="140" w:hanging="140"/>
        <w:rPr>
          <w:rFonts w:hint="eastAsia" w:ascii="仿宋" w:hAnsi="仿宋" w:eastAsia="仿宋" w:cs="仿宋"/>
          <w:b w:val="0"/>
          <w:bCs/>
          <w:color w:val="auto"/>
          <w:kern w:val="1"/>
          <w:sz w:val="32"/>
          <w:szCs w:val="32"/>
          <w:u w:val="single"/>
        </w:rPr>
      </w:pPr>
      <w:r>
        <w:rPr>
          <w:rFonts w:hint="eastAsia" w:ascii="仿宋" w:hAnsi="仿宋" w:eastAsia="仿宋" w:cs="仿宋"/>
          <w:b w:val="0"/>
          <w:bCs/>
          <w:color w:val="000000"/>
          <w:kern w:val="1"/>
          <w:sz w:val="32"/>
          <w:szCs w:val="32"/>
          <w:u w:val="none"/>
        </w:rPr>
        <w:t>主体资格证照名称：</w:t>
      </w:r>
      <w:bookmarkStart w:id="4" w:name="CALCULATE—DSR—tAjDsrs_cZtzgzzmc"/>
      <w:r>
        <w:rPr>
          <w:rFonts w:hint="eastAsia" w:ascii="仿宋" w:hAnsi="仿宋" w:eastAsia="仿宋" w:cs="仿宋"/>
          <w:b w:val="0"/>
          <w:color w:val="000000"/>
          <w:sz w:val="32"/>
          <w:u w:val="none"/>
        </w:rPr>
        <w:t>营业执照</w:t>
      </w:r>
      <w:bookmarkEnd w:id="4"/>
      <w:r>
        <w:rPr>
          <w:rFonts w:hint="eastAsia" w:ascii="仿宋" w:hAnsi="仿宋" w:eastAsia="仿宋" w:cs="仿宋"/>
          <w:b w:val="0"/>
          <w:bCs/>
          <w:color w:val="000000"/>
          <w:kern w:val="1"/>
          <w:sz w:val="32"/>
          <w:szCs w:val="32"/>
          <w:u w:val="none"/>
        </w:rPr>
        <w:t xml:space="preserve">           </w:t>
      </w:r>
      <w:r>
        <w:rPr>
          <w:rFonts w:hint="eastAsia" w:ascii="仿宋" w:hAnsi="仿宋" w:eastAsia="仿宋" w:cs="仿宋"/>
          <w:b w:val="0"/>
          <w:bCs/>
          <w:color w:val="000000"/>
          <w:kern w:val="1"/>
          <w:sz w:val="32"/>
          <w:szCs w:val="32"/>
          <w:u w:val="none"/>
          <w:lang w:val="en-US" w:eastAsia="zh-CN"/>
        </w:rPr>
        <w:t xml:space="preserve">  </w:t>
      </w:r>
      <w:r>
        <w:rPr>
          <w:rFonts w:hint="eastAsia" w:ascii="仿宋" w:hAnsi="仿宋" w:eastAsia="仿宋" w:cs="仿宋"/>
          <w:b w:val="0"/>
          <w:bCs/>
          <w:color w:val="000000"/>
          <w:kern w:val="1"/>
          <w:sz w:val="32"/>
          <w:szCs w:val="32"/>
          <w:u w:val="none"/>
        </w:rPr>
        <w:t xml:space="preserve">     </w:t>
      </w:r>
    </w:p>
    <w:p w14:paraId="6112D816">
      <w:pPr>
        <w:keepNext w:val="0"/>
        <w:keepLines w:val="0"/>
        <w:pageBreakBefore w:val="0"/>
        <w:kinsoku/>
        <w:wordWrap w:val="0"/>
        <w:overflowPunct/>
        <w:topLinePunct w:val="0"/>
        <w:bidi w:val="0"/>
        <w:spacing w:line="420" w:lineRule="exact"/>
        <w:ind w:left="140" w:hanging="140"/>
        <w:rPr>
          <w:rFonts w:hint="eastAsia" w:ascii="仿宋" w:hAnsi="仿宋" w:eastAsia="仿宋" w:cs="仿宋"/>
          <w:b w:val="0"/>
          <w:bCs/>
          <w:color w:val="auto"/>
          <w:kern w:val="1"/>
          <w:sz w:val="32"/>
          <w:szCs w:val="32"/>
          <w:u w:val="single"/>
          <w:lang w:val="en-US" w:eastAsia="zh-CN"/>
        </w:rPr>
      </w:pPr>
      <w:r>
        <w:rPr>
          <w:rFonts w:hint="eastAsia" w:ascii="仿宋" w:hAnsi="仿宋" w:eastAsia="仿宋" w:cs="仿宋"/>
          <w:b w:val="0"/>
          <w:bCs/>
          <w:color w:val="000000"/>
          <w:kern w:val="1"/>
          <w:sz w:val="32"/>
          <w:szCs w:val="32"/>
          <w:u w:val="none"/>
        </w:rPr>
        <w:t>统一社会信用代码：</w:t>
      </w:r>
      <w:bookmarkStart w:id="5" w:name="CALCULATE—DSR—tAjDsrs_cTzshxydm"/>
      <w:r>
        <w:rPr>
          <w:rFonts w:hint="eastAsia" w:ascii="仿宋" w:hAnsi="仿宋" w:eastAsia="仿宋" w:cs="仿宋"/>
          <w:b w:val="0"/>
          <w:color w:val="000000"/>
          <w:sz w:val="32"/>
          <w:u w:val="none"/>
        </w:rPr>
        <w:t>92370403MACKM1NH5P</w:t>
      </w:r>
      <w:bookmarkEnd w:id="5"/>
      <w:r>
        <w:rPr>
          <w:rFonts w:hint="eastAsia" w:ascii="仿宋" w:hAnsi="仿宋" w:eastAsia="仿宋" w:cs="仿宋"/>
          <w:b w:val="0"/>
          <w:bCs/>
          <w:color w:val="000000"/>
          <w:kern w:val="1"/>
          <w:sz w:val="32"/>
          <w:szCs w:val="32"/>
          <w:u w:val="none"/>
        </w:rPr>
        <w:t xml:space="preserve">             </w:t>
      </w:r>
    </w:p>
    <w:p w14:paraId="29EB9176">
      <w:pPr>
        <w:keepNext w:val="0"/>
        <w:keepLines w:val="0"/>
        <w:pageBreakBefore w:val="0"/>
        <w:kinsoku/>
        <w:wordWrap w:val="0"/>
        <w:overflowPunct/>
        <w:topLinePunct w:val="0"/>
        <w:bidi w:val="0"/>
        <w:spacing w:line="420" w:lineRule="exact"/>
        <w:ind w:left="140" w:hanging="140"/>
        <w:rPr>
          <w:rFonts w:hint="eastAsia" w:ascii="仿宋" w:hAnsi="仿宋" w:eastAsia="仿宋" w:cs="仿宋"/>
          <w:b w:val="0"/>
          <w:bCs/>
          <w:color w:val="auto"/>
          <w:kern w:val="1"/>
          <w:sz w:val="32"/>
          <w:szCs w:val="32"/>
          <w:u w:val="single"/>
          <w:lang w:val="en-US" w:eastAsia="zh-CN"/>
        </w:rPr>
      </w:pPr>
      <w:r>
        <w:rPr>
          <w:rFonts w:hint="eastAsia" w:ascii="仿宋" w:hAnsi="仿宋" w:eastAsia="仿宋" w:cs="仿宋"/>
          <w:b w:val="0"/>
          <w:bCs/>
          <w:color w:val="000000"/>
          <w:kern w:val="1"/>
          <w:sz w:val="32"/>
          <w:szCs w:val="32"/>
          <w:u w:val="none"/>
        </w:rPr>
        <w:t>住所（住址）：</w:t>
      </w:r>
      <w:bookmarkStart w:id="6" w:name="CALCULATE—DSR—tAjDsrs_cLxdzSheng"/>
      <w:r>
        <w:rPr>
          <w:rFonts w:hint="eastAsia" w:ascii="仿宋" w:hAnsi="仿宋" w:eastAsia="仿宋" w:cs="仿宋"/>
          <w:b w:val="0"/>
          <w:color w:val="000000"/>
          <w:sz w:val="32"/>
          <w:u w:val="none"/>
        </w:rPr>
        <w:t>山东省枣庄市薛城临城街道清河湾4号楼门市从西往东数第3-4间</w:t>
      </w:r>
      <w:bookmarkEnd w:id="6"/>
      <w:r>
        <w:rPr>
          <w:rFonts w:hint="eastAsia" w:ascii="仿宋" w:hAnsi="仿宋" w:eastAsia="仿宋" w:cs="仿宋"/>
          <w:b w:val="0"/>
          <w:bCs/>
          <w:color w:val="000000"/>
          <w:kern w:val="1"/>
          <w:sz w:val="32"/>
          <w:szCs w:val="32"/>
          <w:u w:val="none"/>
        </w:rPr>
        <w:t xml:space="preserve">                    </w:t>
      </w:r>
      <w:r>
        <w:rPr>
          <w:rFonts w:hint="eastAsia" w:ascii="仿宋" w:hAnsi="仿宋" w:eastAsia="仿宋" w:cs="仿宋"/>
          <w:b w:val="0"/>
          <w:bCs/>
          <w:color w:val="000000"/>
          <w:kern w:val="1"/>
          <w:sz w:val="32"/>
          <w:szCs w:val="32"/>
          <w:u w:val="none"/>
          <w:lang w:val="en-US" w:eastAsia="zh-CN"/>
        </w:rPr>
        <w:t xml:space="preserve">     </w:t>
      </w:r>
      <w:r>
        <w:rPr>
          <w:rFonts w:hint="eastAsia" w:ascii="仿宋" w:hAnsi="仿宋" w:eastAsia="仿宋" w:cs="仿宋"/>
          <w:b w:val="0"/>
          <w:bCs/>
          <w:color w:val="000000"/>
          <w:kern w:val="1"/>
          <w:sz w:val="32"/>
          <w:szCs w:val="32"/>
          <w:u w:val="none"/>
        </w:rPr>
        <w:t xml:space="preserve">    </w:t>
      </w:r>
      <w:r>
        <w:rPr>
          <w:rFonts w:hint="eastAsia" w:ascii="仿宋" w:hAnsi="仿宋" w:eastAsia="仿宋" w:cs="仿宋"/>
          <w:b w:val="0"/>
          <w:bCs/>
          <w:color w:val="000000"/>
          <w:kern w:val="1"/>
          <w:sz w:val="32"/>
          <w:szCs w:val="32"/>
          <w:u w:val="none"/>
          <w:lang w:val="en-US" w:eastAsia="zh-CN"/>
        </w:rPr>
        <w:t xml:space="preserve"> </w:t>
      </w:r>
      <w:bookmarkStart w:id="10" w:name="_GoBack"/>
      <w:bookmarkEnd w:id="10"/>
      <w:r>
        <w:rPr>
          <w:rFonts w:hint="eastAsia" w:ascii="仿宋" w:hAnsi="仿宋" w:eastAsia="仿宋" w:cs="仿宋"/>
          <w:b w:val="0"/>
          <w:bCs/>
          <w:color w:val="000000"/>
          <w:kern w:val="1"/>
          <w:sz w:val="32"/>
          <w:szCs w:val="32"/>
          <w:u w:val="none"/>
        </w:rPr>
        <w:t xml:space="preserve">     </w:t>
      </w:r>
      <w:r>
        <w:rPr>
          <w:rFonts w:hint="eastAsia" w:ascii="仿宋" w:hAnsi="仿宋" w:eastAsia="仿宋" w:cs="仿宋"/>
          <w:b w:val="0"/>
          <w:bCs/>
          <w:color w:val="000000"/>
          <w:kern w:val="1"/>
          <w:sz w:val="32"/>
          <w:szCs w:val="32"/>
          <w:u w:val="none"/>
          <w:lang w:val="en-US" w:eastAsia="zh-CN"/>
        </w:rPr>
        <w:t xml:space="preserve">    </w:t>
      </w:r>
      <w:r>
        <w:rPr>
          <w:rFonts w:hint="eastAsia" w:ascii="仿宋" w:hAnsi="仿宋" w:eastAsia="仿宋" w:cs="仿宋"/>
          <w:b w:val="0"/>
          <w:bCs/>
          <w:color w:val="000000"/>
          <w:kern w:val="1"/>
          <w:sz w:val="32"/>
          <w:szCs w:val="32"/>
          <w:u w:val="none"/>
        </w:rPr>
        <w:t xml:space="preserve">      </w:t>
      </w:r>
    </w:p>
    <w:p w14:paraId="2EDD7CE9">
      <w:pPr>
        <w:keepNext w:val="0"/>
        <w:keepLines w:val="0"/>
        <w:pageBreakBefore w:val="0"/>
        <w:widowControl/>
        <w:kinsoku/>
        <w:wordWrap w:val="0"/>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我局于2025年9月22日委托奥迈检测有限公司对枣庄卓航食品科技有限公司采购和使用的食品原料进行食品安全监督抽检，其中大葱经检验，噻虫嗪项目实测值为0.38mg/kg（标准指标：≤0.3mg/kg），检验结论：经抽样检验，噻虫嗪项目不符合GB 2763-2021《食品安全国家标准 食品中农药最大残留限量》要求，检验结论为不合格；检验报告编号为№：AMJC/20250925353。</w:t>
      </w:r>
    </w:p>
    <w:p w14:paraId="52B68806">
      <w:pPr>
        <w:keepNext w:val="0"/>
        <w:keepLines w:val="0"/>
        <w:pageBreakBefore w:val="0"/>
        <w:widowControl/>
        <w:kinsoku/>
        <w:wordWrap w:val="0"/>
        <w:overflowPunct/>
        <w:topLinePunct w:val="0"/>
        <w:autoSpaceDE/>
        <w:autoSpaceDN/>
        <w:bidi w:val="0"/>
        <w:adjustRightInd/>
        <w:snapToGrid/>
        <w:spacing w:line="420" w:lineRule="exact"/>
        <w:ind w:right="126"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pacing w:val="0"/>
          <w:w w:val="100"/>
          <w:sz w:val="32"/>
          <w:szCs w:val="32"/>
          <w:u w:val="none"/>
          <w:lang w:val="en-US" w:eastAsia="zh-CN"/>
        </w:rPr>
        <w:t>经初步审查，</w:t>
      </w:r>
      <w:r>
        <w:rPr>
          <w:rFonts w:hint="eastAsia" w:ascii="仿宋" w:hAnsi="仿宋" w:eastAsia="仿宋" w:cs="仿宋"/>
          <w:color w:val="000000"/>
          <w:sz w:val="32"/>
          <w:szCs w:val="32"/>
          <w:u w:val="none"/>
          <w:lang w:val="en-US" w:eastAsia="zh-CN"/>
        </w:rPr>
        <w:t>当事人于2025年9月21日购进涉案大葱，销售给枣庄卓航食品科技有限公司，枣庄卓航食品科技有限公司依据薛城区校园食材供应配送合同，配送到山东省盐业集团枣庄有限公司，该公司与枣庄卓航食品科技有限公司签订了薛城区所属学校（含幼儿园）食堂用食材统一配送供货协议。因此当事人是枣庄卓航食品科技有限公司抽检不合格的大葱的实际销售商。我局执法人员于2026年3月10日对枣庄薛城区优全品商贸商行经营者张虎进行调查询问，形成《询问笔录》1份。证实当事人为上述抽检不合格大葱的供货商。枣庄薛城区优全品商贸商行经营农药残留含量超过食品安全标准限量的葱。</w:t>
      </w:r>
    </w:p>
    <w:p w14:paraId="77E11136">
      <w:pPr>
        <w:keepNext w:val="0"/>
        <w:keepLines w:val="0"/>
        <w:pageBreakBefore w:val="0"/>
        <w:widowControl/>
        <w:kinsoku/>
        <w:wordWrap w:val="0"/>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z w:val="32"/>
          <w:szCs w:val="32"/>
          <w:u w:val="none"/>
          <w:lang w:val="en-US" w:eastAsia="zh-CN"/>
        </w:rPr>
        <w:t>当事人上述行为</w:t>
      </w:r>
      <w:r>
        <w:rPr>
          <w:rFonts w:hint="eastAsia" w:ascii="仿宋" w:hAnsi="仿宋" w:eastAsia="仿宋" w:cs="仿宋"/>
          <w:color w:val="000000"/>
          <w:spacing w:val="0"/>
          <w:w w:val="100"/>
          <w:sz w:val="32"/>
          <w:szCs w:val="32"/>
          <w:u w:val="none"/>
          <w:lang w:val="en-US" w:eastAsia="zh-CN"/>
        </w:rPr>
        <w:t>涉嫌违反了《食用农产品市场销售质量安全监督管理办法》第十五条第一款和《中华人民共和国食品安全法》第三十四条第（二）项的规定，于2026年3月10日经我局部门负责人批准予以立案。当事人已于2026年3月10日前知晓所售葱经抽样检验，检验结论为不合格，当事人在法定期限内未对检验结果提出异议。</w:t>
      </w:r>
    </w:p>
    <w:p w14:paraId="3DF90C8C">
      <w:pPr>
        <w:keepNext w:val="0"/>
        <w:keepLines w:val="0"/>
        <w:pageBreakBefore w:val="0"/>
        <w:widowControl/>
        <w:kinsoku/>
        <w:wordWrap w:val="0"/>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color w:val="000000"/>
          <w:spacing w:val="0"/>
          <w:w w:val="100"/>
          <w:sz w:val="32"/>
          <w:szCs w:val="32"/>
          <w:u w:val="none"/>
          <w:lang w:val="en-US" w:eastAsia="zh-CN"/>
        </w:rPr>
        <w:t>经调查，当事人</w:t>
      </w:r>
      <w:r>
        <w:rPr>
          <w:rFonts w:hint="eastAsia" w:ascii="仿宋" w:hAnsi="仿宋" w:eastAsia="仿宋" w:cs="仿宋"/>
          <w:b w:val="0"/>
          <w:bCs w:val="0"/>
          <w:color w:val="000000"/>
          <w:sz w:val="32"/>
          <w:szCs w:val="32"/>
          <w:u w:val="none" w:color="auto"/>
          <w:lang w:val="en-US" w:eastAsia="zh-CN"/>
        </w:rPr>
        <w:t>从市中区利民农贸市场采购上述涉案批次的大葱50公斤，销售价2.3元/公斤，货值115元，全部销售完毕，当事人无法提供进货凭证，违法所得认定为115元</w:t>
      </w:r>
      <w:r>
        <w:rPr>
          <w:rFonts w:hint="eastAsia" w:ascii="仿宋" w:hAnsi="仿宋" w:eastAsia="仿宋" w:cs="仿宋"/>
          <w:color w:val="000000"/>
          <w:spacing w:val="0"/>
          <w:w w:val="100"/>
          <w:sz w:val="32"/>
          <w:szCs w:val="32"/>
          <w:u w:val="none"/>
          <w:lang w:val="en-US" w:eastAsia="zh-CN"/>
        </w:rPr>
        <w:t>。当事人</w:t>
      </w:r>
      <w:r>
        <w:rPr>
          <w:rFonts w:hint="eastAsia" w:ascii="仿宋" w:hAnsi="仿宋" w:eastAsia="仿宋" w:cs="仿宋"/>
          <w:color w:val="000000"/>
          <w:sz w:val="32"/>
          <w:szCs w:val="32"/>
          <w:u w:val="none"/>
          <w:lang w:val="en-US" w:eastAsia="zh-CN"/>
        </w:rPr>
        <w:t>无法确定销售商</w:t>
      </w:r>
      <w:r>
        <w:rPr>
          <w:rFonts w:hint="eastAsia" w:ascii="仿宋" w:hAnsi="仿宋" w:eastAsia="仿宋" w:cs="仿宋"/>
          <w:color w:val="000000"/>
          <w:sz w:val="32"/>
          <w:szCs w:val="32"/>
          <w:u w:val="none"/>
        </w:rPr>
        <w:t>，故无法进行溯源。</w:t>
      </w:r>
    </w:p>
    <w:p w14:paraId="75BDF012">
      <w:pPr>
        <w:keepNext w:val="0"/>
        <w:keepLines w:val="0"/>
        <w:pageBreakBefore w:val="0"/>
        <w:widowControl/>
        <w:kinsoku/>
        <w:wordWrap w:val="0"/>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 xml:space="preserve">现已查明，当事人经营农药残留含量超过食品安全标准限量的葱和未按规定建立食用农产品进货查验记录制度及保存相关凭证的违法事实存在。                </w:t>
      </w:r>
    </w:p>
    <w:p w14:paraId="36998B07">
      <w:pPr>
        <w:keepNext w:val="0"/>
        <w:keepLines w:val="0"/>
        <w:pageBreakBefore w:val="0"/>
        <w:widowControl/>
        <w:kinsoku/>
        <w:wordWrap w:val="0"/>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eastAsia="zh-CN"/>
        </w:rPr>
      </w:pPr>
      <w:r>
        <w:rPr>
          <w:rFonts w:hint="eastAsia" w:ascii="仿宋" w:hAnsi="仿宋" w:eastAsia="仿宋" w:cs="仿宋"/>
          <w:color w:val="000000"/>
          <w:spacing w:val="0"/>
          <w:w w:val="100"/>
          <w:sz w:val="32"/>
          <w:szCs w:val="32"/>
          <w:u w:val="none"/>
          <w:lang w:eastAsia="zh-CN"/>
        </w:rPr>
        <w:t>上述事实，主要有以下证据证明：</w:t>
      </w:r>
    </w:p>
    <w:p w14:paraId="10182303">
      <w:pPr>
        <w:keepNext w:val="0"/>
        <w:keepLines w:val="0"/>
        <w:pageBreakBefore w:val="0"/>
        <w:widowControl/>
        <w:kinsoku/>
        <w:wordWrap w:val="0"/>
        <w:overflowPunct/>
        <w:topLinePunct w:val="0"/>
        <w:autoSpaceDE/>
        <w:autoSpaceDN/>
        <w:bidi w:val="0"/>
        <w:adjustRightInd/>
        <w:snapToGrid/>
        <w:spacing w:line="4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color w:val="000000"/>
          <w:sz w:val="32"/>
          <w:szCs w:val="32"/>
          <w:u w:val="none"/>
          <w:lang w:val="en-US" w:eastAsia="zh-CN"/>
        </w:rPr>
        <w:t>1、枣庄薛城区优全品商贸商行(个体工商户)的《营业执照》复印件1份，证明当事人是具有合法主体资格的食品经营主体。</w:t>
      </w:r>
    </w:p>
    <w:p w14:paraId="587FE509">
      <w:pPr>
        <w:keepNext w:val="0"/>
        <w:keepLines w:val="0"/>
        <w:pageBreakBefore w:val="0"/>
        <w:widowControl/>
        <w:kinsoku/>
        <w:wordWrap w:val="0"/>
        <w:overflowPunct/>
        <w:topLinePunct w:val="0"/>
        <w:autoSpaceDE/>
        <w:autoSpaceDN/>
        <w:bidi w:val="0"/>
        <w:adjustRightInd/>
        <w:snapToGrid/>
        <w:spacing w:line="4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color w:val="000000"/>
          <w:sz w:val="32"/>
          <w:szCs w:val="32"/>
          <w:u w:val="none"/>
          <w:lang w:val="en-US" w:eastAsia="zh-CN"/>
        </w:rPr>
        <w:t>2、</w:t>
      </w:r>
      <w:bookmarkStart w:id="7" w:name="OLE_LINK1"/>
      <w:r>
        <w:rPr>
          <w:rFonts w:hint="eastAsia" w:ascii="仿宋" w:hAnsi="仿宋" w:eastAsia="仿宋" w:cs="仿宋"/>
          <w:bCs/>
          <w:color w:val="000000"/>
          <w:sz w:val="32"/>
          <w:szCs w:val="32"/>
          <w:u w:val="none"/>
          <w:lang w:val="en-US" w:eastAsia="zh-CN"/>
        </w:rPr>
        <w:t>经营者张虎身份证复印件1份，</w:t>
      </w:r>
      <w:bookmarkEnd w:id="7"/>
      <w:r>
        <w:rPr>
          <w:rFonts w:hint="eastAsia" w:ascii="仿宋" w:hAnsi="仿宋" w:eastAsia="仿宋" w:cs="仿宋"/>
          <w:bCs/>
          <w:color w:val="000000"/>
          <w:sz w:val="32"/>
          <w:szCs w:val="32"/>
          <w:u w:val="none"/>
          <w:lang w:val="en-US" w:eastAsia="zh-CN"/>
        </w:rPr>
        <w:t>证明</w:t>
      </w:r>
      <w:r>
        <w:rPr>
          <w:rFonts w:hint="eastAsia" w:ascii="仿宋" w:hAnsi="仿宋" w:eastAsia="仿宋" w:cs="仿宋"/>
          <w:bCs/>
          <w:color w:val="000000"/>
          <w:spacing w:val="0"/>
          <w:w w:val="100"/>
          <w:sz w:val="32"/>
          <w:szCs w:val="32"/>
          <w:u w:val="none"/>
          <w:lang w:val="en-US" w:eastAsia="zh-CN"/>
        </w:rPr>
        <w:t>被调查人身份信息</w:t>
      </w:r>
      <w:r>
        <w:rPr>
          <w:rFonts w:hint="eastAsia" w:ascii="仿宋" w:hAnsi="仿宋" w:eastAsia="仿宋" w:cs="仿宋"/>
          <w:bCs/>
          <w:color w:val="000000"/>
          <w:sz w:val="32"/>
          <w:szCs w:val="32"/>
          <w:u w:val="none"/>
          <w:lang w:val="en-US" w:eastAsia="zh-CN"/>
        </w:rPr>
        <w:t>。</w:t>
      </w:r>
    </w:p>
    <w:p w14:paraId="26E2C5F4">
      <w:pPr>
        <w:keepNext w:val="0"/>
        <w:keepLines w:val="0"/>
        <w:pageBreakBefore w:val="0"/>
        <w:widowControl/>
        <w:kinsoku/>
        <w:wordWrap w:val="0"/>
        <w:overflowPunct/>
        <w:topLinePunct w:val="0"/>
        <w:autoSpaceDE/>
        <w:autoSpaceDN/>
        <w:bidi w:val="0"/>
        <w:adjustRightInd/>
        <w:snapToGrid/>
        <w:spacing w:line="4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color w:val="000000"/>
          <w:sz w:val="32"/>
          <w:szCs w:val="32"/>
          <w:u w:val="none"/>
          <w:lang w:val="en-US" w:eastAsia="zh-CN"/>
        </w:rPr>
        <w:t xml:space="preserve">3、奥迈检测有限公司出具的《检验报告》（报告编号№：AMJC/20250925353)1份，证明当事人销售的大葱经抽样检验，农药残留含量超过食品安全标准限量。 </w:t>
      </w:r>
    </w:p>
    <w:p w14:paraId="1045861A">
      <w:pPr>
        <w:keepNext w:val="0"/>
        <w:keepLines w:val="0"/>
        <w:pageBreakBefore w:val="0"/>
        <w:widowControl/>
        <w:kinsoku/>
        <w:wordWrap w:val="0"/>
        <w:overflowPunct/>
        <w:topLinePunct w:val="0"/>
        <w:autoSpaceDE/>
        <w:autoSpaceDN/>
        <w:bidi w:val="0"/>
        <w:adjustRightInd/>
        <w:snapToGrid/>
        <w:spacing w:line="42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color w:val="000000"/>
          <w:sz w:val="32"/>
          <w:szCs w:val="32"/>
          <w:u w:val="none"/>
          <w:lang w:val="en-US" w:eastAsia="zh-CN"/>
        </w:rPr>
        <w:t>4、</w:t>
      </w:r>
      <w:r>
        <w:rPr>
          <w:rFonts w:hint="eastAsia" w:ascii="仿宋" w:hAnsi="仿宋" w:eastAsia="仿宋" w:cs="仿宋"/>
          <w:color w:val="000000"/>
          <w:spacing w:val="0"/>
          <w:w w:val="100"/>
          <w:sz w:val="32"/>
          <w:szCs w:val="32"/>
          <w:u w:val="none"/>
          <w:lang w:val="en-US" w:eastAsia="zh-CN"/>
        </w:rPr>
        <w:t>对</w:t>
      </w:r>
      <w:r>
        <w:rPr>
          <w:rFonts w:hint="eastAsia" w:ascii="仿宋" w:hAnsi="仿宋" w:eastAsia="仿宋" w:cs="仿宋"/>
          <w:bCs/>
          <w:color w:val="000000"/>
          <w:sz w:val="32"/>
          <w:szCs w:val="32"/>
          <w:u w:val="none"/>
          <w:lang w:val="en-US" w:eastAsia="zh-CN"/>
        </w:rPr>
        <w:t>经营者张虎</w:t>
      </w:r>
      <w:r>
        <w:rPr>
          <w:rFonts w:hint="eastAsia" w:ascii="仿宋" w:hAnsi="仿宋" w:eastAsia="仿宋" w:cs="仿宋"/>
          <w:color w:val="000000"/>
          <w:spacing w:val="0"/>
          <w:w w:val="100"/>
          <w:sz w:val="32"/>
          <w:szCs w:val="32"/>
          <w:u w:val="none"/>
          <w:lang w:val="en-US" w:eastAsia="zh-CN"/>
        </w:rPr>
        <w:t>的《询问笔录》、手写销售凭证复印件和</w:t>
      </w:r>
      <w:r>
        <w:rPr>
          <w:rFonts w:hint="eastAsia" w:ascii="仿宋" w:hAnsi="仿宋" w:eastAsia="仿宋" w:cs="仿宋"/>
          <w:bCs/>
          <w:color w:val="000000"/>
          <w:sz w:val="32"/>
          <w:szCs w:val="32"/>
          <w:u w:val="none"/>
          <w:lang w:val="en-US" w:eastAsia="zh-CN"/>
        </w:rPr>
        <w:t>对</w:t>
      </w:r>
      <w:r>
        <w:rPr>
          <w:rFonts w:hint="eastAsia" w:ascii="仿宋" w:hAnsi="仿宋" w:eastAsia="仿宋" w:cs="仿宋"/>
          <w:color w:val="000000"/>
          <w:spacing w:val="0"/>
          <w:w w:val="100"/>
          <w:sz w:val="32"/>
          <w:szCs w:val="32"/>
          <w:u w:val="none"/>
          <w:lang w:val="en-US" w:eastAsia="zh-CN"/>
        </w:rPr>
        <w:t xml:space="preserve"> 枣庄卓航食品科技有限公司被授权人刘峰的《询问笔录》复印件各1份，证明当事人与枣庄卓航食品科技有限公司存在业务关系，当事人是枣庄卓航食品科技有限公司抽检不合格的葱的供货商；涉案葱的来源、数量、货值金额、违法所得及当事人经营</w:t>
      </w:r>
      <w:r>
        <w:rPr>
          <w:rFonts w:hint="eastAsia" w:ascii="仿宋" w:hAnsi="仿宋" w:eastAsia="仿宋" w:cs="仿宋"/>
          <w:bCs/>
          <w:color w:val="000000"/>
          <w:sz w:val="32"/>
          <w:szCs w:val="32"/>
          <w:u w:val="none"/>
          <w:lang w:val="en-US" w:eastAsia="zh-CN"/>
        </w:rPr>
        <w:t>农药残留含量超过食品安全标准限量</w:t>
      </w:r>
      <w:r>
        <w:rPr>
          <w:rFonts w:hint="eastAsia" w:ascii="仿宋" w:hAnsi="仿宋" w:eastAsia="仿宋" w:cs="仿宋"/>
          <w:color w:val="000000"/>
          <w:spacing w:val="0"/>
          <w:w w:val="100"/>
          <w:sz w:val="32"/>
          <w:szCs w:val="32"/>
          <w:u w:val="none"/>
          <w:lang w:val="en-US" w:eastAsia="zh-CN"/>
        </w:rPr>
        <w:t>的葱和未按规定建立食用农产品进货查验记录制度的违法事实存在</w:t>
      </w:r>
      <w:r>
        <w:rPr>
          <w:rFonts w:hint="eastAsia" w:ascii="仿宋" w:hAnsi="仿宋" w:eastAsia="仿宋" w:cs="仿宋"/>
          <w:bCs/>
          <w:color w:val="000000"/>
          <w:sz w:val="32"/>
          <w:szCs w:val="32"/>
          <w:u w:val="none"/>
          <w:lang w:val="en-US" w:eastAsia="zh-CN"/>
        </w:rPr>
        <w:t>。</w:t>
      </w:r>
    </w:p>
    <w:p w14:paraId="6CD4D782">
      <w:pPr>
        <w:keepNext w:val="0"/>
        <w:keepLines w:val="0"/>
        <w:pageBreakBefore w:val="0"/>
        <w:widowControl/>
        <w:kinsoku/>
        <w:wordWrap w:val="0"/>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color="auto"/>
          <w:lang w:val="en-US" w:eastAsia="zh-CN"/>
        </w:rPr>
      </w:pPr>
      <w:r>
        <w:rPr>
          <w:rFonts w:hint="eastAsia" w:ascii="仿宋" w:hAnsi="仿宋" w:eastAsia="仿宋" w:cs="仿宋"/>
          <w:color w:val="000000"/>
          <w:spacing w:val="0"/>
          <w:w w:val="100"/>
          <w:sz w:val="32"/>
          <w:szCs w:val="32"/>
          <w:u w:val="none" w:color="auto"/>
          <w:lang w:val="en-US" w:eastAsia="zh-CN"/>
        </w:rPr>
        <w:t>我局执法人员于2026年3月18日向当事人送达了薛市监罚告〔2026〕573号《行政处罚告知》，由经营者张虎签收，并告知当事人我局拟作出行政处罚的事实、理由、依据及处罚内容，当事人在规定时间内未提出陈述、申辩意见，也未要求听证。</w:t>
      </w:r>
    </w:p>
    <w:p w14:paraId="75DFB494">
      <w:pPr>
        <w:keepNext w:val="0"/>
        <w:keepLines w:val="0"/>
        <w:pageBreakBefore w:val="0"/>
        <w:widowControl/>
        <w:kinsoku/>
        <w:wordWrap w:val="0"/>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Cs/>
          <w:color w:val="000000"/>
          <w:sz w:val="32"/>
          <w:szCs w:val="32"/>
          <w:u w:val="none"/>
          <w:lang w:val="en-US" w:eastAsia="zh-CN"/>
        </w:rPr>
        <w:t>本案中当事人经营农药残留含量超过食品安全标准限量的葱的违法行为，违反了《食用农产品市场销售质量安全监督管理办法》第十五条第一款：“禁止销售者采购、销售食品安全法第三十四条规定情形的食用农产品”，以及《中华人民共和国食品安全法》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的规定</w:t>
      </w:r>
      <w:r>
        <w:rPr>
          <w:rFonts w:hint="eastAsia" w:ascii="仿宋" w:hAnsi="仿宋" w:eastAsia="仿宋" w:cs="仿宋"/>
          <w:color w:val="000000"/>
          <w:sz w:val="32"/>
          <w:szCs w:val="32"/>
          <w:u w:val="none"/>
          <w:lang w:val="en-US" w:eastAsia="zh-CN"/>
        </w:rPr>
        <w:t>。</w:t>
      </w:r>
    </w:p>
    <w:p w14:paraId="68F3FA0C">
      <w:pPr>
        <w:keepNext w:val="0"/>
        <w:keepLines w:val="0"/>
        <w:pageBreakBefore w:val="0"/>
        <w:widowControl/>
        <w:kinsoku/>
        <w:wordWrap w:val="0"/>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000000"/>
          <w:spacing w:val="0"/>
          <w:w w:val="100"/>
          <w:sz w:val="32"/>
          <w:szCs w:val="32"/>
          <w:u w:val="none"/>
          <w:lang w:val="en-US" w:eastAsia="zh-CN"/>
        </w:rPr>
        <w:t>当事人采购食用农产品时，未按规定建立食用农产品进货查验记录制度及留存进货凭证，其行为违反了</w:t>
      </w:r>
      <w:r>
        <w:rPr>
          <w:rFonts w:hint="eastAsia" w:ascii="仿宋" w:hAnsi="仿宋" w:eastAsia="仿宋" w:cs="仿宋"/>
          <w:bCs/>
          <w:color w:val="000000"/>
          <w:sz w:val="32"/>
          <w:szCs w:val="32"/>
          <w:u w:val="none"/>
          <w:lang w:val="en-US" w:eastAsia="zh-CN"/>
        </w:rPr>
        <w:t>《食用农产品市场销售质量安全监督管理办法》</w:t>
      </w:r>
      <w:r>
        <w:rPr>
          <w:rFonts w:hint="eastAsia" w:ascii="仿宋" w:hAnsi="仿宋" w:eastAsia="仿宋" w:cs="仿宋"/>
          <w:color w:val="000000"/>
          <w:spacing w:val="0"/>
          <w:w w:val="100"/>
          <w:sz w:val="32"/>
          <w:szCs w:val="32"/>
          <w:u w:val="none"/>
          <w:lang w:val="en-US" w:eastAsia="zh-CN"/>
        </w:rPr>
        <w:t>第八条</w:t>
      </w:r>
      <w:r>
        <w:rPr>
          <w:rFonts w:hint="eastAsia" w:ascii="仿宋" w:hAnsi="仿宋" w:eastAsia="仿宋" w:cs="仿宋"/>
          <w:bCs/>
          <w:color w:val="000000"/>
          <w:sz w:val="32"/>
          <w:szCs w:val="32"/>
          <w:u w:val="none"/>
          <w:lang w:val="en-US" w:eastAsia="zh-CN"/>
        </w:rPr>
        <w:t>第一款</w:t>
      </w:r>
      <w:r>
        <w:rPr>
          <w:rFonts w:hint="eastAsia" w:ascii="仿宋" w:hAnsi="仿宋" w:eastAsia="仿宋" w:cs="仿宋"/>
          <w:color w:val="000000"/>
          <w:spacing w:val="0"/>
          <w:w w:val="100"/>
          <w:sz w:val="32"/>
          <w:szCs w:val="32"/>
          <w:u w:val="none"/>
          <w:lang w:val="en-US" w:eastAsia="zh-CN"/>
        </w:rPr>
        <w:t>“销售者采购食用农产品，应当依照食品安全法第六十五条的规定建立食用农产品进货查验记录制度，索取并留存食用农产品进货凭证，并核对供货者等有关信息”、《中华人民共和国食品安全法》第六十五条“食用农产品销售者应当建立食用农产品进货查验记录制度，如实记录食用农产品的名称、数量、进货日期以及供货者名称、地址、联系方式等内容，并保存相关凭证。记录和凭证保存期限不得少于六个月”的规定，构成未按规定建立食用农产品进货查验记录制度及留存进货凭证的违法行为。</w:t>
      </w:r>
    </w:p>
    <w:p w14:paraId="3F54D0EF">
      <w:pPr>
        <w:keepNext w:val="0"/>
        <w:keepLines w:val="0"/>
        <w:pageBreakBefore w:val="0"/>
        <w:widowControl w:val="0"/>
        <w:kinsoku/>
        <w:wordWrap w:val="0"/>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color w:val="000000"/>
          <w:sz w:val="32"/>
          <w:szCs w:val="32"/>
          <w:highlight w:val="none"/>
          <w:u w:val="none"/>
          <w:lang w:val="en-US" w:eastAsia="zh-CN"/>
        </w:rPr>
      </w:pPr>
      <w:r>
        <w:rPr>
          <w:rFonts w:hint="eastAsia" w:ascii="仿宋" w:hAnsi="仿宋" w:eastAsia="仿宋" w:cs="仿宋"/>
          <w:color w:val="000000"/>
          <w:spacing w:val="0"/>
          <w:w w:val="100"/>
          <w:sz w:val="32"/>
          <w:szCs w:val="32"/>
          <w:u w:val="none"/>
          <w:lang w:val="en-US" w:eastAsia="zh-CN"/>
        </w:rPr>
        <w:t>鉴于当事人能够积极配合调查，如实陈述违法事实并提供有关证据资料，其行为符合市场监管总局《关于规范市场监督管理行政处罚裁量权的指导意见》第十四条第（二）项“有下列情形之一的，可以依法从轻或者减轻行政处罚：...（二）积极配合市场监管部门调查并主动提供证据材料的...”中关于减轻处罚的规定情形</w:t>
      </w:r>
      <w:r>
        <w:rPr>
          <w:rFonts w:hint="eastAsia" w:ascii="仿宋" w:hAnsi="仿宋" w:eastAsia="仿宋" w:cs="仿宋"/>
          <w:color w:val="000000"/>
          <w:sz w:val="32"/>
          <w:szCs w:val="32"/>
          <w:highlight w:val="none"/>
          <w:u w:val="none"/>
          <w:lang w:val="en-US" w:eastAsia="zh-CN"/>
        </w:rPr>
        <w:t>。结合本案情况，综合考虑当事人的情形，依据《中华人民共和国行政处罚法》</w:t>
      </w:r>
      <w:r>
        <w:rPr>
          <w:rFonts w:hint="eastAsia" w:ascii="仿宋" w:hAnsi="仿宋" w:eastAsia="仿宋" w:cs="仿宋"/>
          <w:color w:val="000000"/>
          <w:spacing w:val="0"/>
          <w:w w:val="100"/>
          <w:sz w:val="32"/>
          <w:szCs w:val="32"/>
          <w:u w:val="none"/>
          <w:lang w:val="en-US" w:eastAsia="zh-CN"/>
        </w:rPr>
        <w:t>第五条第二款“设定和实施行政处罚必须以事实为依据，与违法行为的事实、性质、情节以及社会危害程度相当”</w:t>
      </w:r>
      <w:r>
        <w:rPr>
          <w:rFonts w:hint="eastAsia" w:ascii="仿宋" w:hAnsi="仿宋" w:eastAsia="仿宋" w:cs="仿宋"/>
          <w:color w:val="000000"/>
          <w:sz w:val="32"/>
          <w:szCs w:val="32"/>
          <w:highlight w:val="none"/>
          <w:u w:val="none"/>
          <w:lang w:val="en-US" w:eastAsia="zh-CN"/>
        </w:rPr>
        <w:t>的规定，经我局集体讨论，对当事人作出减轻处罚的裁量决定。</w:t>
      </w:r>
    </w:p>
    <w:p w14:paraId="15F924F2">
      <w:pPr>
        <w:keepNext w:val="0"/>
        <w:keepLines w:val="0"/>
        <w:pageBreakBefore w:val="0"/>
        <w:widowControl w:val="0"/>
        <w:kinsoku/>
        <w:wordWrap w:val="0"/>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sz w:val="32"/>
          <w:szCs w:val="32"/>
          <w:u w:val="none"/>
          <w:lang w:eastAsia="zh-CN"/>
        </w:rPr>
      </w:pPr>
      <w:r>
        <w:rPr>
          <w:rFonts w:hint="eastAsia" w:ascii="仿宋" w:hAnsi="仿宋" w:eastAsia="仿宋" w:cs="仿宋"/>
          <w:color w:val="000000"/>
          <w:spacing w:val="0"/>
          <w:w w:val="100"/>
          <w:sz w:val="32"/>
          <w:szCs w:val="32"/>
          <w:u w:val="none"/>
          <w:lang w:val="en-US" w:eastAsia="zh-CN"/>
        </w:rPr>
        <w:t>综上，对当事人经营农药残留含量超过食品安全标准限量的葱的行为，依据《食用农产品市场销售质量安全监督管理办法》第四十二条“销售者违反本办法第十五条规定，采购、销售食品安全法第三十四条规定情形的食用农产品的，由县级以上市场监督管理部门依照食品安全法有关规定给予处罚。”和《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重金属等污染物质以及其他危害人体健康的物质含量超过食品安全标准限量的食品、食品添加剂”的规定，</w:t>
      </w:r>
      <w:r>
        <w:rPr>
          <w:rFonts w:hint="eastAsia" w:ascii="仿宋" w:hAnsi="仿宋" w:eastAsia="仿宋" w:cs="仿宋"/>
          <w:color w:val="000000"/>
          <w:sz w:val="32"/>
          <w:szCs w:val="32"/>
          <w:u w:val="none"/>
          <w:lang w:val="en-US" w:eastAsia="zh-CN"/>
        </w:rPr>
        <w:t>没收违法所得115.00元</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罚款</w:t>
      </w:r>
      <w:r>
        <w:rPr>
          <w:rFonts w:hint="eastAsia" w:ascii="仿宋" w:hAnsi="仿宋" w:eastAsia="仿宋" w:cs="仿宋"/>
          <w:color w:val="000000"/>
          <w:sz w:val="32"/>
          <w:szCs w:val="32"/>
          <w:u w:val="none"/>
        </w:rPr>
        <w:t>人民币</w:t>
      </w:r>
      <w:r>
        <w:rPr>
          <w:rFonts w:hint="eastAsia" w:ascii="仿宋" w:hAnsi="仿宋" w:eastAsia="仿宋" w:cs="仿宋"/>
          <w:color w:val="000000"/>
          <w:sz w:val="32"/>
          <w:szCs w:val="32"/>
          <w:u w:val="none"/>
          <w:lang w:val="en-US" w:eastAsia="zh-CN"/>
        </w:rPr>
        <w:t>4800</w:t>
      </w:r>
      <w:r>
        <w:rPr>
          <w:rFonts w:hint="default" w:ascii="仿宋" w:hAnsi="仿宋" w:eastAsia="仿宋" w:cs="仿宋"/>
          <w:color w:val="000000"/>
          <w:sz w:val="32"/>
          <w:szCs w:val="32"/>
          <w:u w:val="none"/>
          <w:lang w:val="en-US" w:eastAsia="zh-CN"/>
        </w:rPr>
        <w:t>.</w:t>
      </w:r>
      <w:r>
        <w:rPr>
          <w:rFonts w:hint="eastAsia" w:ascii="仿宋" w:hAnsi="仿宋" w:eastAsia="仿宋" w:cs="仿宋"/>
          <w:color w:val="000000"/>
          <w:sz w:val="32"/>
          <w:szCs w:val="32"/>
          <w:u w:val="none"/>
          <w:lang w:val="en-US" w:eastAsia="zh-CN"/>
        </w:rPr>
        <w:t>00元</w:t>
      </w:r>
      <w:r>
        <w:rPr>
          <w:rFonts w:hint="eastAsia" w:ascii="仿宋" w:hAnsi="仿宋" w:eastAsia="仿宋" w:cs="仿宋"/>
          <w:color w:val="000000"/>
          <w:sz w:val="32"/>
          <w:szCs w:val="32"/>
          <w:u w:val="none"/>
          <w:lang w:eastAsia="zh-CN"/>
        </w:rPr>
        <w:t>。</w:t>
      </w:r>
    </w:p>
    <w:p w14:paraId="1C119199">
      <w:pPr>
        <w:keepNext w:val="0"/>
        <w:keepLines w:val="0"/>
        <w:pageBreakBefore w:val="0"/>
        <w:widowControl w:val="0"/>
        <w:kinsoku/>
        <w:wordWrap w:val="0"/>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color w:val="000000"/>
          <w:spacing w:val="0"/>
          <w:w w:val="100"/>
          <w:sz w:val="32"/>
          <w:szCs w:val="32"/>
          <w:u w:val="none"/>
          <w:lang w:val="en-US" w:eastAsia="zh-CN"/>
        </w:rPr>
        <w:t>对当事人未按规定建立食用农产品进货查验记录制度及留存进货凭证的违法行为，依据</w:t>
      </w:r>
      <w:r>
        <w:rPr>
          <w:rFonts w:hint="eastAsia" w:ascii="仿宋" w:hAnsi="仿宋" w:eastAsia="仿宋" w:cs="仿宋"/>
          <w:bCs/>
          <w:color w:val="000000"/>
          <w:sz w:val="32"/>
          <w:szCs w:val="32"/>
          <w:u w:val="none"/>
          <w:lang w:val="en-US" w:eastAsia="zh-CN"/>
        </w:rPr>
        <w:t>《食用农产品市场销售质量安全监督管理办法》</w:t>
      </w:r>
      <w:r>
        <w:rPr>
          <w:rFonts w:hint="eastAsia" w:ascii="仿宋" w:hAnsi="仿宋" w:eastAsia="仿宋" w:cs="仿宋"/>
          <w:color w:val="000000"/>
          <w:sz w:val="32"/>
          <w:szCs w:val="32"/>
          <w:u w:val="none"/>
          <w:lang w:eastAsia="zh-CN"/>
        </w:rPr>
        <w:t>第三十九条</w:t>
      </w:r>
      <w:r>
        <w:rPr>
          <w:rFonts w:hint="eastAsia" w:ascii="仿宋" w:hAnsi="仿宋" w:eastAsia="仿宋" w:cs="仿宋"/>
          <w:color w:val="000000"/>
          <w:sz w:val="32"/>
          <w:szCs w:val="32"/>
          <w:u w:val="none"/>
          <w:lang w:val="en-US" w:eastAsia="zh-CN"/>
        </w:rPr>
        <w:t>第（一）项</w:t>
      </w:r>
      <w:r>
        <w:rPr>
          <w:rFonts w:hint="eastAsia" w:ascii="仿宋" w:hAnsi="仿宋" w:eastAsia="仿宋" w:cs="仿宋"/>
          <w:color w:val="000000"/>
          <w:sz w:val="32"/>
          <w:szCs w:val="32"/>
          <w:u w:val="none"/>
          <w:lang w:eastAsia="zh-CN"/>
        </w:rPr>
        <w:t>“ 有下列情形之一的，由县级以上市场监督管理部门依照食品安全法第一百二十六条第一款的规定给予处罚：（一）销售者违反本办法第八条第一款规定，未按要求建立食用农产品进货查验记录制度，或者未按要求索取进货凭证的；”</w:t>
      </w:r>
      <w:r>
        <w:rPr>
          <w:rFonts w:hint="eastAsia" w:ascii="仿宋" w:hAnsi="仿宋" w:eastAsia="仿宋" w:cs="仿宋"/>
          <w:color w:val="000000"/>
          <w:sz w:val="32"/>
          <w:szCs w:val="32"/>
          <w:u w:val="none"/>
          <w:lang w:val="en-US" w:eastAsia="zh-CN"/>
        </w:rPr>
        <w:t>和</w:t>
      </w:r>
      <w:r>
        <w:rPr>
          <w:rFonts w:hint="eastAsia" w:ascii="仿宋" w:hAnsi="仿宋" w:eastAsia="仿宋" w:cs="仿宋"/>
          <w:color w:val="000000"/>
          <w:spacing w:val="0"/>
          <w:w w:val="100"/>
          <w:sz w:val="32"/>
          <w:szCs w:val="32"/>
          <w:u w:val="none"/>
          <w:lang w:val="en-US" w:eastAsia="zh-CN"/>
        </w:rPr>
        <w:t>《中华人民共和国食品安全法》</w:t>
      </w:r>
      <w:r>
        <w:rPr>
          <w:rFonts w:hint="eastAsia" w:ascii="仿宋" w:hAnsi="仿宋" w:eastAsia="仿宋" w:cs="仿宋"/>
          <w:color w:val="000000"/>
          <w:sz w:val="32"/>
          <w:szCs w:val="32"/>
          <w:u w:val="none"/>
          <w:lang w:eastAsia="zh-CN"/>
        </w:rPr>
        <w:t>第一百二十六条</w:t>
      </w:r>
      <w:r>
        <w:rPr>
          <w:rFonts w:hint="eastAsia" w:ascii="仿宋" w:hAnsi="仿宋" w:eastAsia="仿宋" w:cs="仿宋"/>
          <w:color w:val="000000"/>
          <w:sz w:val="32"/>
          <w:szCs w:val="32"/>
          <w:u w:val="none"/>
          <w:lang w:val="en-US" w:eastAsia="zh-CN"/>
        </w:rPr>
        <w:t>第一款</w:t>
      </w:r>
      <w:r>
        <w:rPr>
          <w:rFonts w:hint="eastAsia" w:ascii="仿宋" w:hAnsi="仿宋" w:eastAsia="仿宋" w:cs="仿宋"/>
          <w:color w:val="000000"/>
          <w:sz w:val="32"/>
          <w:szCs w:val="32"/>
          <w:u w:val="none"/>
          <w:lang w:eastAsia="zh-CN"/>
        </w:rPr>
        <w:t>“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 w:hAnsi="仿宋" w:eastAsia="仿宋" w:cs="仿宋"/>
          <w:color w:val="000000"/>
          <w:sz w:val="32"/>
          <w:szCs w:val="32"/>
          <w:u w:val="none"/>
          <w:lang w:val="en-US" w:eastAsia="zh-CN"/>
        </w:rPr>
        <w:t>、第四款“食用农产品销售者违反本法第六十五条规定的，由县级以上人民政府食品安全监督管理部门依照第一款规定给予处罚”的规定，责令改正，给予警告。</w:t>
      </w:r>
    </w:p>
    <w:p w14:paraId="130EBBDA">
      <w:pPr>
        <w:keepNext w:val="0"/>
        <w:keepLines w:val="0"/>
        <w:pageBreakBefore w:val="0"/>
        <w:widowControl/>
        <w:numPr>
          <w:ilvl w:val="0"/>
          <w:numId w:val="0"/>
        </w:numPr>
        <w:kinsoku/>
        <w:wordWrap w:val="0"/>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根据《中华人民共和国行政处罚法》第二十八条第一款“行政机关实施行政处罚时，应当责令当事人改正或者限期改正违法行为”的规定，</w:t>
      </w:r>
      <w:r>
        <w:rPr>
          <w:rFonts w:hint="eastAsia" w:ascii="仿宋" w:hAnsi="仿宋" w:eastAsia="仿宋" w:cs="仿宋"/>
          <w:b w:val="0"/>
          <w:bCs/>
          <w:color w:val="000000"/>
          <w:kern w:val="1"/>
          <w:sz w:val="32"/>
          <w:szCs w:val="32"/>
          <w:u w:val="none"/>
        </w:rPr>
        <w:t>现责令当事人改正上述违法行为，并决定处罚如下</w:t>
      </w:r>
      <w:r>
        <w:rPr>
          <w:rFonts w:hint="eastAsia" w:ascii="仿宋" w:hAnsi="仿宋" w:eastAsia="仿宋" w:cs="仿宋"/>
          <w:color w:val="000000"/>
          <w:spacing w:val="0"/>
          <w:w w:val="100"/>
          <w:sz w:val="32"/>
          <w:szCs w:val="32"/>
          <w:u w:val="none"/>
          <w:lang w:val="en-US" w:eastAsia="zh-CN"/>
        </w:rPr>
        <w:t>（减轻）：</w:t>
      </w:r>
    </w:p>
    <w:p w14:paraId="71CC3CA5">
      <w:pPr>
        <w:keepNext w:val="0"/>
        <w:keepLines w:val="0"/>
        <w:pageBreakBefore w:val="0"/>
        <w:widowControl/>
        <w:numPr>
          <w:ilvl w:val="0"/>
          <w:numId w:val="3"/>
        </w:numPr>
        <w:kinsoku/>
        <w:wordWrap w:val="0"/>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警告；</w:t>
      </w:r>
    </w:p>
    <w:p w14:paraId="4FE0DB60">
      <w:pPr>
        <w:keepNext w:val="0"/>
        <w:keepLines w:val="0"/>
        <w:pageBreakBefore w:val="0"/>
        <w:widowControl/>
        <w:numPr>
          <w:ilvl w:val="0"/>
          <w:numId w:val="3"/>
        </w:numPr>
        <w:kinsoku/>
        <w:wordWrap w:val="0"/>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没收违法所得壹佰壹拾伍元（¥115.00）；</w:t>
      </w:r>
    </w:p>
    <w:p w14:paraId="1E881D3F">
      <w:pPr>
        <w:keepNext w:val="0"/>
        <w:keepLines w:val="0"/>
        <w:pageBreakBefore w:val="0"/>
        <w:widowControl/>
        <w:numPr>
          <w:ilvl w:val="0"/>
          <w:numId w:val="3"/>
        </w:numPr>
        <w:kinsoku/>
        <w:wordWrap w:val="0"/>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罚款人民币肆仟捌佰元整（¥4800.00）；</w:t>
      </w:r>
    </w:p>
    <w:p w14:paraId="6661374F">
      <w:pPr>
        <w:keepNext w:val="0"/>
        <w:keepLines w:val="0"/>
        <w:pageBreakBefore w:val="0"/>
        <w:widowControl/>
        <w:kinsoku/>
        <w:wordWrap w:val="0"/>
        <w:overflowPunct/>
        <w:topLinePunct w:val="0"/>
        <w:autoSpaceDE w:val="0"/>
        <w:autoSpaceDN w:val="0"/>
        <w:bidi w:val="0"/>
        <w:adjustRightInd/>
        <w:snapToGrid/>
        <w:spacing w:line="42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罚没合计人民币肆仟玖佰壹拾伍元整（¥4915.00）。</w:t>
      </w:r>
    </w:p>
    <w:p w14:paraId="7B27B911">
      <w:pPr>
        <w:keepNext w:val="0"/>
        <w:keepLines w:val="0"/>
        <w:pageBreakBefore w:val="0"/>
        <w:widowControl w:val="0"/>
        <w:kinsoku/>
        <w:wordWrap w:val="0"/>
        <w:overflowPunct/>
        <w:topLinePunct w:val="0"/>
        <w:autoSpaceDE/>
        <w:autoSpaceDN/>
        <w:bidi w:val="0"/>
        <w:adjustRightInd/>
        <w:snapToGrid w:val="0"/>
        <w:spacing w:line="42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w:t>
      </w:r>
    </w:p>
    <w:p w14:paraId="2D088F15">
      <w:pPr>
        <w:keepNext w:val="0"/>
        <w:keepLines w:val="0"/>
        <w:pageBreakBefore w:val="0"/>
        <w:widowControl w:val="0"/>
        <w:kinsoku/>
        <w:wordWrap w:val="0"/>
        <w:overflowPunct/>
        <w:topLinePunct w:val="0"/>
        <w:autoSpaceDE/>
        <w:autoSpaceDN/>
        <w:bidi w:val="0"/>
        <w:adjustRightInd/>
        <w:snapToGrid w:val="0"/>
        <w:spacing w:line="42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到期不缴纳罚没款的，依据《中华人民共和国行政处罚法》第七十二条的规定，本局将每日按罚款数额的百分之三加处罚款，并依法申请人民法院强制执行。</w:t>
      </w:r>
    </w:p>
    <w:p w14:paraId="0E4E6DD9">
      <w:pPr>
        <w:keepNext w:val="0"/>
        <w:keepLines w:val="0"/>
        <w:pageBreakBefore w:val="0"/>
        <w:widowControl w:val="0"/>
        <w:kinsoku/>
        <w:wordWrap w:val="0"/>
        <w:overflowPunct/>
        <w:topLinePunct w:val="0"/>
        <w:autoSpaceDE/>
        <w:autoSpaceDN/>
        <w:bidi w:val="0"/>
        <w:adjustRightInd/>
        <w:snapToGrid w:val="0"/>
        <w:spacing w:line="420" w:lineRule="exact"/>
        <w:ind w:firstLine="640" w:firstLineChars="200"/>
        <w:jc w:val="both"/>
        <w:textAlignment w:val="auto"/>
        <w:rPr>
          <w:rFonts w:hint="eastAsia" w:ascii="仿宋" w:hAnsi="仿宋" w:eastAsia="仿宋" w:cs="仿宋"/>
          <w:b w:val="0"/>
          <w:bCs/>
          <w:color w:val="auto"/>
          <w:kern w:val="2"/>
          <w:sz w:val="32"/>
          <w:szCs w:val="32"/>
          <w:u w:val="single"/>
          <w:lang w:val="en-US" w:eastAsia="zh-CN" w:bidi="ar-SA"/>
        </w:rPr>
      </w:pPr>
      <w:r>
        <w:rPr>
          <w:rFonts w:hint="eastAsia" w:ascii="仿宋" w:hAnsi="仿宋" w:eastAsia="仿宋" w:cs="仿宋"/>
          <w:color w:val="000000"/>
          <w:spacing w:val="0"/>
          <w:w w:val="100"/>
          <w:sz w:val="32"/>
          <w:szCs w:val="32"/>
          <w:u w:val="none"/>
          <w:lang w:val="en-US" w:eastAsia="zh-CN"/>
        </w:rPr>
        <w:t>如不服本处罚决定，可在接到本处罚决定书之日起六十日内向薛城区人民政府申请行政复议，也可以于六个月内依法向薛城区人民法院等有管辖权的法院，提起行政诉讼。申请行政复议或者提起行政诉讼期间，行政处罚不停止执行</w:t>
      </w:r>
      <w:r>
        <w:rPr>
          <w:rFonts w:hint="eastAsia" w:ascii="仿宋" w:hAnsi="仿宋" w:eastAsia="仿宋" w:cs="仿宋"/>
          <w:b w:val="0"/>
          <w:bCs/>
          <w:color w:val="000000"/>
          <w:kern w:val="2"/>
          <w:sz w:val="32"/>
          <w:szCs w:val="32"/>
          <w:u w:val="none"/>
          <w:lang w:val="en-US" w:eastAsia="zh-CN" w:bidi="ar-SA"/>
        </w:rPr>
        <w:t>。(网上提交行政复议申请网址:https://12348.shandong.gov.cn/fysq)。</w:t>
      </w:r>
    </w:p>
    <w:p w14:paraId="36EEC282">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20" w:lineRule="exact"/>
        <w:ind w:firstLine="640" w:firstLineChars="200"/>
        <w:textAlignment w:val="auto"/>
        <w:rPr>
          <w:rFonts w:hint="eastAsia" w:ascii="仿宋" w:hAnsi="仿宋" w:eastAsia="仿宋" w:cs="仿宋"/>
          <w:b w:val="0"/>
          <w:bCs/>
          <w:color w:val="auto"/>
          <w:u w:val="single"/>
          <w:lang w:val="en-US" w:eastAsia="zh-CN"/>
        </w:rPr>
      </w:pPr>
    </w:p>
    <w:p w14:paraId="177A686F">
      <w:pPr>
        <w:keepNext w:val="0"/>
        <w:keepLines w:val="0"/>
        <w:pageBreakBefore w:val="0"/>
        <w:widowControl/>
        <w:kinsoku/>
        <w:overflowPunct/>
        <w:topLinePunct w:val="0"/>
        <w:bidi w:val="0"/>
        <w:snapToGrid w:val="0"/>
        <w:spacing w:line="420" w:lineRule="exact"/>
        <w:jc w:val="left"/>
        <w:rPr>
          <w:rFonts w:ascii="Times New Roman" w:hAnsi="Times New Roman" w:eastAsia="仿宋_GB2312" w:cs="仿宋_GB2312"/>
          <w:color w:val="auto"/>
          <w:sz w:val="32"/>
          <w:szCs w:val="32"/>
        </w:rPr>
      </w:pPr>
    </w:p>
    <w:p w14:paraId="7C616828">
      <w:pPr>
        <w:keepNext w:val="0"/>
        <w:keepLines w:val="0"/>
        <w:pageBreakBefore w:val="0"/>
        <w:widowControl/>
        <w:kinsoku/>
        <w:overflowPunct/>
        <w:topLinePunct w:val="0"/>
        <w:bidi w:val="0"/>
        <w:snapToGrid w:val="0"/>
        <w:spacing w:line="420" w:lineRule="exact"/>
        <w:ind w:firstLine="6240" w:firstLineChars="1950"/>
        <w:jc w:val="left"/>
        <w:rPr>
          <w:rFonts w:hint="eastAsia" w:ascii="Times New Roman" w:hAnsi="Times New Roman" w:eastAsia="仿宋_GB2312" w:cs="仿宋_GB2312"/>
          <w:color w:val="auto"/>
          <w:sz w:val="32"/>
          <w:szCs w:val="32"/>
          <w:lang w:val="en-US" w:eastAsia="zh-Hans"/>
        </w:rPr>
      </w:pPr>
    </w:p>
    <w:p w14:paraId="501E8A0F">
      <w:pPr>
        <w:keepNext w:val="0"/>
        <w:keepLines w:val="0"/>
        <w:pageBreakBefore w:val="0"/>
        <w:widowControl/>
        <w:kinsoku/>
        <w:overflowPunct/>
        <w:topLinePunct w:val="0"/>
        <w:bidi w:val="0"/>
        <w:snapToGrid w:val="0"/>
        <w:spacing w:line="420" w:lineRule="exact"/>
        <w:ind w:firstLine="6240" w:firstLineChars="1950"/>
        <w:jc w:val="left"/>
        <w:rPr>
          <w:rFonts w:hint="eastAsia" w:ascii="Times New Roman" w:hAnsi="Times New Roman" w:eastAsia="仿宋_GB2312" w:cs="仿宋_GB2312"/>
          <w:color w:val="auto"/>
          <w:sz w:val="32"/>
          <w:szCs w:val="32"/>
          <w:lang w:val="en-US" w:eastAsia="zh-Hans"/>
        </w:rPr>
      </w:pPr>
    </w:p>
    <w:p w14:paraId="5460F325">
      <w:pPr>
        <w:keepNext w:val="0"/>
        <w:keepLines w:val="0"/>
        <w:pageBreakBefore w:val="0"/>
        <w:widowControl/>
        <w:kinsoku/>
        <w:overflowPunct/>
        <w:topLinePunct w:val="0"/>
        <w:bidi w:val="0"/>
        <w:snapToGrid w:val="0"/>
        <w:spacing w:line="420" w:lineRule="exact"/>
        <w:ind w:firstLine="6240" w:firstLineChars="1950"/>
        <w:jc w:val="left"/>
        <w:rPr>
          <w:rFonts w:hint="eastAsia" w:ascii="Times New Roman" w:hAnsi="Times New Roman" w:eastAsia="仿宋_GB2312" w:cs="仿宋_GB2312"/>
          <w:color w:val="auto"/>
          <w:sz w:val="32"/>
          <w:szCs w:val="32"/>
          <w:lang w:val="en-US" w:eastAsia="zh-Hans"/>
        </w:rPr>
      </w:pPr>
    </w:p>
    <w:p w14:paraId="4A9DD5D5">
      <w:pPr>
        <w:keepNext w:val="0"/>
        <w:keepLines w:val="0"/>
        <w:pageBreakBefore w:val="0"/>
        <w:widowControl/>
        <w:kinsoku/>
        <w:overflowPunct/>
        <w:topLinePunct w:val="0"/>
        <w:bidi w:val="0"/>
        <w:snapToGrid w:val="0"/>
        <w:spacing w:line="420" w:lineRule="exact"/>
        <w:ind w:firstLine="6240" w:firstLineChars="1950"/>
        <w:jc w:val="left"/>
        <w:rPr>
          <w:rFonts w:hint="eastAsia" w:ascii="Times New Roman" w:hAnsi="Times New Roman" w:eastAsia="仿宋_GB2312" w:cs="仿宋_GB2312"/>
          <w:color w:val="auto"/>
          <w:sz w:val="32"/>
          <w:szCs w:val="32"/>
          <w:lang w:val="en-US" w:eastAsia="zh-Hans"/>
        </w:rPr>
      </w:pPr>
    </w:p>
    <w:p w14:paraId="05620C3B">
      <w:pPr>
        <w:keepNext w:val="0"/>
        <w:keepLines w:val="0"/>
        <w:pageBreakBefore w:val="0"/>
        <w:kinsoku/>
        <w:overflowPunct/>
        <w:topLinePunct w:val="0"/>
        <w:bidi w:val="0"/>
        <w:spacing w:line="420" w:lineRule="exact"/>
        <w:ind w:right="640" w:firstLine="601"/>
        <w:jc w:val="right"/>
        <w:rPr>
          <w:rFonts w:ascii="Times New Roman" w:hAnsi="Times New Roman" w:eastAsia="仿宋_GB2312" w:cs="仿宋"/>
          <w:color w:val="auto"/>
          <w:sz w:val="32"/>
          <w:szCs w:val="32"/>
        </w:rPr>
      </w:pPr>
      <w:bookmarkStart w:id="8" w:name="DYNAMIC—DWXX—tAj_dwmc—2"/>
      <w:r>
        <w:rPr>
          <w:rFonts w:hint="eastAsia" w:ascii="Times New Roman" w:hAnsi="Times New Roman" w:eastAsia="仿宋_GB2312" w:cs="仿宋"/>
          <w:color w:val="000000"/>
          <w:sz w:val="32"/>
          <w:u w:val="none"/>
        </w:rPr>
        <w:t>薛城区市场监督管理局</w:t>
      </w:r>
      <w:bookmarkEnd w:id="8"/>
      <w:r>
        <w:rPr>
          <w:rFonts w:hint="eastAsia" w:ascii="Times New Roman" w:hAnsi="Times New Roman" w:eastAsia="仿宋_GB2312" w:cs="仿宋"/>
          <w:color w:val="000000"/>
          <w:sz w:val="32"/>
          <w:szCs w:val="32"/>
          <w:u w:val="none"/>
        </w:rPr>
        <w:t xml:space="preserve">    </w:t>
      </w:r>
    </w:p>
    <w:p w14:paraId="5C9C65F5">
      <w:pPr>
        <w:keepNext w:val="0"/>
        <w:keepLines w:val="0"/>
        <w:pageBreakBefore w:val="0"/>
        <w:kinsoku/>
        <w:overflowPunct/>
        <w:topLinePunct w:val="0"/>
        <w:bidi w:val="0"/>
        <w:spacing w:line="42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143ACE90">
      <w:pPr>
        <w:keepNext w:val="0"/>
        <w:keepLines w:val="0"/>
        <w:pageBreakBefore w:val="0"/>
        <w:widowControl w:val="0"/>
        <w:kinsoku/>
        <w:wordWrap/>
        <w:overflowPunct/>
        <w:topLinePunct w:val="0"/>
        <w:autoSpaceDE/>
        <w:autoSpaceDN/>
        <w:bidi w:val="0"/>
        <w:adjustRightInd/>
        <w:snapToGrid/>
        <w:spacing w:line="42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9" w:name="CALCULATE—TIME—NOW"/>
      <w:r>
        <w:rPr>
          <w:rFonts w:hint="eastAsia" w:ascii="仿宋_GB2312" w:hAnsi="Times New Roman" w:eastAsia="仿宋_GB2312" w:cs="仿宋"/>
          <w:color w:val="000000"/>
          <w:sz w:val="32"/>
          <w:u w:val="none"/>
        </w:rPr>
        <w:t>2026年3月27日</w:t>
      </w:r>
      <w:bookmarkEnd w:id="9"/>
      <w:r>
        <w:rPr>
          <w:rFonts w:hint="eastAsia" w:ascii="Times New Roman" w:hAnsi="Times New Roman" w:eastAsia="仿宋_GB2312" w:cs="仿宋_GB2312"/>
          <w:color w:val="000000"/>
          <w:sz w:val="32"/>
          <w:szCs w:val="32"/>
          <w:u w:val="none"/>
        </w:rPr>
        <w:t xml:space="preserve">  </w:t>
      </w:r>
    </w:p>
    <w:p w14:paraId="54C4151C">
      <w:pPr>
        <w:keepNext w:val="0"/>
        <w:keepLines w:val="0"/>
        <w:pageBreakBefore w:val="0"/>
        <w:widowControl/>
        <w:kinsoku/>
        <w:overflowPunct/>
        <w:topLinePunct w:val="0"/>
        <w:bidi w:val="0"/>
        <w:snapToGrid w:val="0"/>
        <w:spacing w:line="420" w:lineRule="exact"/>
        <w:jc w:val="right"/>
        <w:rPr>
          <w:rFonts w:ascii="Times New Roman" w:hAnsi="Times New Roman" w:eastAsia="仿宋_GB2312" w:cs="Mongolian Baiti"/>
          <w:color w:val="auto"/>
          <w:sz w:val="32"/>
          <w:szCs w:val="32"/>
        </w:rPr>
      </w:pPr>
    </w:p>
    <w:p w14:paraId="52A66B15">
      <w:pPr>
        <w:keepNext w:val="0"/>
        <w:keepLines w:val="0"/>
        <w:pageBreakBefore w:val="0"/>
        <w:widowControl/>
        <w:kinsoku/>
        <w:overflowPunct/>
        <w:topLinePunct w:val="0"/>
        <w:bidi w:val="0"/>
        <w:snapToGrid w:val="0"/>
        <w:spacing w:line="420" w:lineRule="exact"/>
        <w:jc w:val="right"/>
        <w:rPr>
          <w:rFonts w:ascii="Times New Roman" w:hAnsi="Times New Roman" w:eastAsia="仿宋_GB2312" w:cs="Mongolian Baiti"/>
          <w:color w:val="auto"/>
          <w:sz w:val="32"/>
          <w:szCs w:val="32"/>
        </w:rPr>
      </w:pPr>
    </w:p>
    <w:p w14:paraId="1E44899C">
      <w:pPr>
        <w:keepNext w:val="0"/>
        <w:keepLines w:val="0"/>
        <w:pageBreakBefore w:val="0"/>
        <w:widowControl/>
        <w:kinsoku/>
        <w:overflowPunct/>
        <w:topLinePunct w:val="0"/>
        <w:bidi w:val="0"/>
        <w:snapToGrid w:val="0"/>
        <w:spacing w:line="420" w:lineRule="exact"/>
        <w:jc w:val="right"/>
        <w:rPr>
          <w:rFonts w:ascii="Times New Roman" w:hAnsi="Times New Roman" w:eastAsia="仿宋_GB2312" w:cs="Mongolian Baiti"/>
          <w:color w:val="auto"/>
          <w:sz w:val="32"/>
          <w:szCs w:val="32"/>
        </w:rPr>
      </w:pPr>
    </w:p>
    <w:p w14:paraId="59906043">
      <w:pPr>
        <w:keepNext w:val="0"/>
        <w:keepLines w:val="0"/>
        <w:pageBreakBefore w:val="0"/>
        <w:widowControl/>
        <w:kinsoku/>
        <w:overflowPunct/>
        <w:topLinePunct w:val="0"/>
        <w:bidi w:val="0"/>
        <w:snapToGrid w:val="0"/>
        <w:spacing w:line="420" w:lineRule="exact"/>
        <w:jc w:val="right"/>
        <w:rPr>
          <w:rFonts w:ascii="Times New Roman" w:hAnsi="Times New Roman" w:eastAsia="仿宋_GB2312" w:cs="Mongolian Baiti"/>
          <w:color w:val="auto"/>
          <w:sz w:val="32"/>
          <w:szCs w:val="32"/>
        </w:rPr>
      </w:pPr>
    </w:p>
    <w:p w14:paraId="5A47480E">
      <w:pPr>
        <w:pStyle w:val="3"/>
        <w:keepNext w:val="0"/>
        <w:keepLines w:val="0"/>
        <w:pageBreakBefore w:val="0"/>
        <w:kinsoku/>
        <w:overflowPunct/>
        <w:topLinePunct w:val="0"/>
        <w:bidi w:val="0"/>
        <w:spacing w:before="1" w:line="420" w:lineRule="exact"/>
        <w:ind w:left="163"/>
        <w:rPr>
          <w:rFonts w:ascii="Times New Roman" w:hAnsi="Times New Roman" w:eastAsia="仿宋_GB2312" w:cs="仿宋"/>
          <w:bCs/>
          <w:color w:val="auto"/>
          <w:sz w:val="44"/>
          <w:szCs w:val="44"/>
        </w:rPr>
      </w:pPr>
      <w:r>
        <w:rPr>
          <w:rFonts w:hint="eastAsia" w:ascii="黑体" w:hAnsi="黑体" w:eastAsia="黑体"/>
          <w:color w:val="000000"/>
          <w:spacing w:val="-16"/>
          <w:u w:val="none"/>
        </w:rPr>
        <w:t>（市场监督管理部门将依法向社会公开行政处罚决定信息）</w:t>
      </w:r>
    </w:p>
    <w:p w14:paraId="77C8BB8F">
      <w:pPr>
        <w:keepNext w:val="0"/>
        <w:keepLines w:val="0"/>
        <w:pageBreakBefore w:val="0"/>
        <w:kinsoku/>
        <w:overflowPunct/>
        <w:topLinePunct w:val="0"/>
        <w:bidi w:val="0"/>
        <w:spacing w:line="420" w:lineRule="exact"/>
        <w:jc w:val="both"/>
        <w:rPr>
          <w:color w:val="auto"/>
        </w:rPr>
      </w:pPr>
      <w:r>
        <w:rPr>
          <w:rFonts w:hint="eastAsia" w:ascii="仿宋" w:hAnsi="仿宋" w:eastAsia="仿宋" w:cs="仿宋"/>
          <w:color w:val="000000"/>
          <w:spacing w:val="0"/>
          <w:w w:val="100"/>
          <w:sz w:val="32"/>
          <w:szCs w:val="32"/>
          <w:u w:val="none"/>
        </w:rPr>
        <w:t>本文书一式三份，一份送达，一份归档，一份承办机构留存</w:t>
      </w: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5715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0.45pt;height:0.05pt;width:437.05pt;z-index:251661312;mso-width-relative:page;mso-height-relative:page;" filled="f" stroked="t" coordsize="21600,21600" o:gfxdata="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m7s&#10;jNQAAAAEAQAADwAAAAAAAAABACAAAAAiAAAAZHJzL2Rvd25yZXYueG1sUEsBAhQAFAAAAAgAh07i&#10;QJZNxwHtAQAA3QMAAA4AAAAAAAAAAQAgAAAAIwEAAGRycy9lMm9Eb2MueG1sUEsFBgAAAAAGAAYA&#10;WQEAAII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CFFE4"/>
    <w:multiLevelType w:val="singleLevel"/>
    <w:tmpl w:val="BE4CFFE4"/>
    <w:lvl w:ilvl="0" w:tentative="0">
      <w:start w:val="1"/>
      <w:numFmt w:val="decimal"/>
      <w:suff w:val="nothing"/>
      <w:lvlText w:val="%1、"/>
      <w:lvlJc w:val="left"/>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2DF2CE3"/>
    <w:rsid w:val="04CD463F"/>
    <w:rsid w:val="04FA4431"/>
    <w:rsid w:val="06BAE61F"/>
    <w:rsid w:val="071C7669"/>
    <w:rsid w:val="0776795A"/>
    <w:rsid w:val="08365B64"/>
    <w:rsid w:val="098F3E86"/>
    <w:rsid w:val="0B22091D"/>
    <w:rsid w:val="0CF71776"/>
    <w:rsid w:val="103E22C5"/>
    <w:rsid w:val="1350279A"/>
    <w:rsid w:val="14203063"/>
    <w:rsid w:val="143E1E38"/>
    <w:rsid w:val="152E563E"/>
    <w:rsid w:val="15B93156"/>
    <w:rsid w:val="16BF6582"/>
    <w:rsid w:val="18325353"/>
    <w:rsid w:val="18B229B2"/>
    <w:rsid w:val="19FE4517"/>
    <w:rsid w:val="1AE345F4"/>
    <w:rsid w:val="1B552F2E"/>
    <w:rsid w:val="1C9C2B08"/>
    <w:rsid w:val="1DA4420A"/>
    <w:rsid w:val="1F2B5D07"/>
    <w:rsid w:val="1FD31F15"/>
    <w:rsid w:val="20754FFB"/>
    <w:rsid w:val="236534A4"/>
    <w:rsid w:val="244E1F2B"/>
    <w:rsid w:val="24626694"/>
    <w:rsid w:val="258D6CE0"/>
    <w:rsid w:val="28D95914"/>
    <w:rsid w:val="2B1B3EFC"/>
    <w:rsid w:val="2C7072E8"/>
    <w:rsid w:val="2CEA3815"/>
    <w:rsid w:val="2DE10173"/>
    <w:rsid w:val="2EA61897"/>
    <w:rsid w:val="2F327E79"/>
    <w:rsid w:val="2F7CE1EF"/>
    <w:rsid w:val="30DB5683"/>
    <w:rsid w:val="342602B0"/>
    <w:rsid w:val="3585615B"/>
    <w:rsid w:val="359B0B00"/>
    <w:rsid w:val="368E5656"/>
    <w:rsid w:val="377FBB27"/>
    <w:rsid w:val="37F16547"/>
    <w:rsid w:val="38B63DA7"/>
    <w:rsid w:val="3930619F"/>
    <w:rsid w:val="3A4E178D"/>
    <w:rsid w:val="3B666687"/>
    <w:rsid w:val="3BF97ECA"/>
    <w:rsid w:val="3C2965F0"/>
    <w:rsid w:val="3CE00DEC"/>
    <w:rsid w:val="3F2604DF"/>
    <w:rsid w:val="3F6783E4"/>
    <w:rsid w:val="3F9D61EE"/>
    <w:rsid w:val="3FFF82D4"/>
    <w:rsid w:val="402E7C06"/>
    <w:rsid w:val="40FE5F8F"/>
    <w:rsid w:val="425049CE"/>
    <w:rsid w:val="42D613D5"/>
    <w:rsid w:val="43A648A2"/>
    <w:rsid w:val="4659781C"/>
    <w:rsid w:val="48C10000"/>
    <w:rsid w:val="4A256B30"/>
    <w:rsid w:val="4A67089F"/>
    <w:rsid w:val="4B8F0B22"/>
    <w:rsid w:val="4BD32FF0"/>
    <w:rsid w:val="4C02380F"/>
    <w:rsid w:val="4CC8271B"/>
    <w:rsid w:val="4D9306AE"/>
    <w:rsid w:val="4E8950D9"/>
    <w:rsid w:val="4F0457DF"/>
    <w:rsid w:val="547C0750"/>
    <w:rsid w:val="54D936F7"/>
    <w:rsid w:val="57503162"/>
    <w:rsid w:val="591F0542"/>
    <w:rsid w:val="5BA419F7"/>
    <w:rsid w:val="5BF91583"/>
    <w:rsid w:val="5BFB2E57"/>
    <w:rsid w:val="5DD7483B"/>
    <w:rsid w:val="5E5FAB03"/>
    <w:rsid w:val="5EBD517B"/>
    <w:rsid w:val="5F9FEDD5"/>
    <w:rsid w:val="5FBEF003"/>
    <w:rsid w:val="5FE33914"/>
    <w:rsid w:val="5FFA4D85"/>
    <w:rsid w:val="602422E6"/>
    <w:rsid w:val="60B635F2"/>
    <w:rsid w:val="612E7E8C"/>
    <w:rsid w:val="64E43803"/>
    <w:rsid w:val="66733921"/>
    <w:rsid w:val="67AB5824"/>
    <w:rsid w:val="69690BB2"/>
    <w:rsid w:val="6AD7030F"/>
    <w:rsid w:val="6BCC1BB9"/>
    <w:rsid w:val="6D923254"/>
    <w:rsid w:val="6E04767D"/>
    <w:rsid w:val="6E6950E9"/>
    <w:rsid w:val="6F732ABB"/>
    <w:rsid w:val="6FF58B64"/>
    <w:rsid w:val="6FF8F863"/>
    <w:rsid w:val="70CF02CA"/>
    <w:rsid w:val="71013020"/>
    <w:rsid w:val="710D7C3E"/>
    <w:rsid w:val="71CF7BDA"/>
    <w:rsid w:val="72061024"/>
    <w:rsid w:val="7376089F"/>
    <w:rsid w:val="75757409"/>
    <w:rsid w:val="75B2DA43"/>
    <w:rsid w:val="75BD90DB"/>
    <w:rsid w:val="77DF8BD4"/>
    <w:rsid w:val="77EFD5CC"/>
    <w:rsid w:val="77FFADAC"/>
    <w:rsid w:val="7B0F6E9A"/>
    <w:rsid w:val="7BFD6076"/>
    <w:rsid w:val="7C8E43D6"/>
    <w:rsid w:val="7DA813EB"/>
    <w:rsid w:val="7DFF108F"/>
    <w:rsid w:val="7EA146AC"/>
    <w:rsid w:val="7EED8AE6"/>
    <w:rsid w:val="7FEADF5C"/>
    <w:rsid w:val="91BF8AB9"/>
    <w:rsid w:val="9EF560BE"/>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7FE0753"/>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594</Words>
  <Characters>673</Characters>
  <Lines>0</Lines>
  <Paragraphs>0</Paragraphs>
  <TotalTime>20</TotalTime>
  <ScaleCrop>false</ScaleCrop>
  <LinksUpToDate>false</LinksUpToDate>
  <CharactersWithSpaces>1923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2021-08-03T02:04:00Z</dcterms:created>
  <dc:creator>胖林宝宝噜啦噜～</dc:creator>
  <cp:lastModifiedBy>01sj</cp:lastModifiedBy>
  <cp:lastPrinted>2026-03-27T17:33:00Z</cp:lastPrinted>
  <dcterms:modified xsi:type="dcterms:W3CDTF">2026-03-30T09:15:11Z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526F4C53292B48849053E71A59849707</vt:lpwstr>
  </property>
  <property fmtid="{D5CDD505-2E9C-101B-9397-08002B2CF9AE}" pid="4" name="KSOTemplateDocerSaveRecord">
    <vt:lpwstr>eyJoZGlkIjoiM2MyMjViYmU0NTQ5OGRkNDcyNGYzOTMxZjE0MmFlYmYiLCJ1c2VySWQiOiIyODQ4MDE1MTAifQ==</vt:lpwstr>
  </property>
</Properties>
</file>