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薛市监处罚〔2026〕24号</w:t>
      </w:r>
      <w:bookmarkEnd w:id="2"/>
    </w:p>
    <w:p w14:paraId="01D329AB">
      <w:pPr>
        <w:keepNext w:val="0"/>
        <w:keepLines w:val="0"/>
        <w:pageBreakBefore w:val="0"/>
        <w:widowControl w:val="0"/>
        <w:kinsoku/>
        <w:overflowPunct/>
        <w:topLinePunct w:val="0"/>
        <w:bidi w:val="0"/>
        <w:snapToGrid/>
        <w:spacing w:before="315" w:beforeLines="100" w:line="500" w:lineRule="exact"/>
        <w:ind w:left="142" w:hanging="142"/>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szCs w:val="32"/>
          <w:u w:val="none" w:color="auto"/>
        </w:rPr>
        <w:t>薛城区曹玉铨蔬菜经营部</w:t>
      </w:r>
      <w:bookmarkEnd w:id="3"/>
      <w:r>
        <w:rPr>
          <w:rFonts w:hint="eastAsia" w:ascii="仿宋_GB2312" w:hAnsi="仿宋_GB2312" w:eastAsia="仿宋_GB2312" w:cs="仿宋_GB2312"/>
          <w:b w:val="0"/>
          <w:bCs/>
          <w:color w:val="000000"/>
          <w:kern w:val="1"/>
          <w:sz w:val="32"/>
          <w:szCs w:val="32"/>
          <w:u w:val="none" w:color="auto"/>
        </w:rPr>
        <w:t xml:space="preserve">                                            </w:t>
      </w:r>
    </w:p>
    <w:p w14:paraId="3CFD1A68">
      <w:pPr>
        <w:keepNext w:val="0"/>
        <w:keepLines w:val="0"/>
        <w:pageBreakBefore w:val="0"/>
        <w:widowControl w:val="0"/>
        <w:kinsoku/>
        <w:overflowPunct/>
        <w:topLinePunct w:val="0"/>
        <w:bidi w:val="0"/>
        <w:snapToGrid/>
        <w:spacing w:line="500" w:lineRule="exact"/>
        <w:ind w:left="140" w:hanging="140"/>
        <w:textAlignment w:val="auto"/>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szCs w:val="32"/>
          <w:u w:val="none" w:color="auto"/>
        </w:rPr>
        <w:t>营业执照</w:t>
      </w:r>
      <w:bookmarkEnd w:id="4"/>
      <w:r>
        <w:rPr>
          <w:rFonts w:hint="eastAsia" w:ascii="仿宋_GB2312" w:hAnsi="仿宋_GB2312" w:eastAsia="仿宋_GB2312" w:cs="仿宋_GB2312"/>
          <w:b w:val="0"/>
          <w:bCs/>
          <w:color w:val="000000"/>
          <w:kern w:val="1"/>
          <w:sz w:val="32"/>
          <w:szCs w:val="32"/>
          <w:u w:val="none" w:color="auto"/>
        </w:rPr>
        <w:t xml:space="preserve">                                  </w:t>
      </w:r>
    </w:p>
    <w:p w14:paraId="6112D816">
      <w:pPr>
        <w:keepNext w:val="0"/>
        <w:keepLines w:val="0"/>
        <w:pageBreakBefore w:val="0"/>
        <w:widowControl w:val="0"/>
        <w:kinsoku/>
        <w:overflowPunct/>
        <w:topLinePunct w:val="0"/>
        <w:bidi w:val="0"/>
        <w:snapToGrid/>
        <w:spacing w:line="500" w:lineRule="exact"/>
        <w:ind w:left="140" w:hanging="140"/>
        <w:textAlignment w:val="auto"/>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szCs w:val="32"/>
          <w:u w:val="none" w:color="auto"/>
        </w:rPr>
        <w:t>92370403MA3KYL871Q</w:t>
      </w:r>
      <w:bookmarkEnd w:id="5"/>
      <w:r>
        <w:rPr>
          <w:rFonts w:hint="eastAsia" w:ascii="仿宋_GB2312" w:hAnsi="仿宋_GB2312" w:eastAsia="仿宋_GB2312" w:cs="仿宋_GB2312"/>
          <w:b w:val="0"/>
          <w:bCs/>
          <w:color w:val="000000"/>
          <w:kern w:val="1"/>
          <w:sz w:val="32"/>
          <w:szCs w:val="32"/>
          <w:u w:val="none" w:color="auto"/>
        </w:rPr>
        <w:t xml:space="preserve">                                  </w:t>
      </w:r>
    </w:p>
    <w:p w14:paraId="7EDC33E1">
      <w:pPr>
        <w:keepNext w:val="0"/>
        <w:keepLines w:val="0"/>
        <w:pageBreakBefore w:val="0"/>
        <w:widowControl w:val="0"/>
        <w:kinsoku/>
        <w:overflowPunct/>
        <w:topLinePunct w:val="0"/>
        <w:bidi w:val="0"/>
        <w:snapToGrid/>
        <w:spacing w:line="500" w:lineRule="exact"/>
        <w:ind w:left="140" w:hanging="140"/>
        <w:textAlignment w:val="auto"/>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住所（住址）：</w:t>
      </w:r>
      <w:bookmarkStart w:id="6" w:name="CALCULATE—DSR—tAjDsrs_cLxdzSheng"/>
      <w:r>
        <w:rPr>
          <w:rFonts w:hint="eastAsia" w:ascii="仿宋_GB2312" w:hAnsi="仿宋_GB2312" w:eastAsia="仿宋_GB2312" w:cs="仿宋_GB2312"/>
          <w:b w:val="0"/>
          <w:color w:val="000000"/>
          <w:sz w:val="32"/>
          <w:szCs w:val="32"/>
          <w:u w:val="none" w:color="auto"/>
        </w:rPr>
        <w:t>山东省枣庄市薛城区北城批发市场内青菜批发市北排三号</w:t>
      </w:r>
      <w:bookmarkEnd w:id="6"/>
      <w:r>
        <w:rPr>
          <w:rFonts w:hint="eastAsia" w:ascii="仿宋_GB2312" w:hAnsi="仿宋_GB2312" w:eastAsia="仿宋_GB2312" w:cs="仿宋_GB2312"/>
          <w:b w:val="0"/>
          <w:bCs/>
          <w:color w:val="000000"/>
          <w:kern w:val="1"/>
          <w:sz w:val="32"/>
          <w:szCs w:val="32"/>
          <w:u w:val="none" w:color="auto"/>
        </w:rPr>
        <w:t xml:space="preserve">                                      </w:t>
      </w:r>
      <w:r>
        <w:rPr>
          <w:rFonts w:hint="eastAsia" w:ascii="仿宋_GB2312" w:hAnsi="仿宋_GB2312" w:eastAsia="仿宋_GB2312" w:cs="仿宋_GB2312"/>
          <w:b w:val="0"/>
          <w:bCs/>
          <w:color w:val="000000"/>
          <w:kern w:val="1"/>
          <w:sz w:val="32"/>
          <w:szCs w:val="32"/>
          <w:u w:val="none" w:color="auto"/>
          <w:lang w:val="en-US" w:eastAsia="zh-CN"/>
        </w:rPr>
        <w:t xml:space="preserve"> </w:t>
      </w:r>
    </w:p>
    <w:p w14:paraId="29EB9176">
      <w:pPr>
        <w:keepNext w:val="0"/>
        <w:keepLines w:val="0"/>
        <w:pageBreakBefore w:val="0"/>
        <w:widowControl w:val="0"/>
        <w:kinsoku/>
        <w:overflowPunct/>
        <w:topLinePunct w:val="0"/>
        <w:bidi w:val="0"/>
        <w:snapToGrid/>
        <w:spacing w:line="500" w:lineRule="exact"/>
        <w:ind w:left="140" w:hanging="140"/>
        <w:textAlignment w:val="auto"/>
        <w:rPr>
          <w:rFonts w:hint="eastAsia" w:ascii="仿宋_GB2312" w:hAnsi="仿宋_GB2312" w:eastAsia="仿宋_GB2312" w:cs="仿宋_GB2312"/>
          <w:b w:val="0"/>
          <w:bCs/>
          <w:color w:val="auto"/>
          <w:kern w:val="1"/>
          <w:sz w:val="32"/>
          <w:szCs w:val="32"/>
          <w:u w:val="none" w:color="auto"/>
          <w:lang w:val="en-US" w:eastAsia="zh-CN"/>
        </w:rPr>
      </w:pPr>
      <w:bookmarkStart w:id="13" w:name="_GoBack"/>
      <w:bookmarkEnd w:id="13"/>
      <w:r>
        <w:rPr>
          <w:rFonts w:hint="eastAsia" w:ascii="仿宋_GB2312" w:hAnsi="仿宋_GB2312" w:eastAsia="仿宋_GB2312" w:cs="仿宋_GB2312"/>
          <w:b w:val="0"/>
          <w:bCs/>
          <w:color w:val="000000"/>
          <w:kern w:val="1"/>
          <w:sz w:val="32"/>
          <w:szCs w:val="32"/>
          <w:u w:val="none" w:color="auto"/>
        </w:rPr>
        <w:t xml:space="preserve">                                </w:t>
      </w:r>
    </w:p>
    <w:p w14:paraId="530FB4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color="auto"/>
          <w:lang w:val="en-US" w:eastAsia="zh-CN"/>
        </w:rPr>
      </w:pPr>
      <w:bookmarkStart w:id="7" w:name="CALCULATE—AYHC—tAjHc_cHcqkjlaay"/>
      <w:r>
        <w:rPr>
          <w:rFonts w:hint="eastAsia" w:ascii="仿宋_GB2312" w:hAnsi="仿宋_GB2312" w:eastAsia="仿宋_GB2312" w:cs="仿宋_GB2312"/>
          <w:color w:val="000000"/>
          <w:sz w:val="32"/>
          <w:szCs w:val="32"/>
          <w:u w:val="none" w:color="auto"/>
        </w:rPr>
        <w:t>2026年1月23日，我局对山东中穗餐饮服务有限公司涉嫌经营农药残留超过食品安全标准最大限量的食用农产品案调查中，该公司提供的供货商为当事人，并提供了当事人的营业执照复印件，同时提供了由当事人开具的收款收据。2026年1月30日，我局执法人员根据山东中穗餐饮服务有限公司提供的供货商材料对当事人进行询问。当事人承认涉案大葱和辣椒是其所供，对山东中穗餐饮服务有限公司提供的材料予以认可。当事人经营农药残留含量超过食品安全标准限量的食用农产品的行为，涉嫌违反了《食用农产品市场销售质量安全监督管理办法》第十五条第一款的规定，</w:t>
      </w:r>
      <w:r>
        <w:rPr>
          <w:rFonts w:hint="eastAsia" w:ascii="仿宋_GB2312" w:hAnsi="仿宋_GB2312" w:eastAsia="仿宋_GB2312" w:cs="仿宋_GB2312"/>
          <w:color w:val="000000"/>
          <w:sz w:val="32"/>
          <w:szCs w:val="32"/>
          <w:u w:val="none" w:color="auto"/>
          <w:lang w:val="en-US" w:eastAsia="zh-CN"/>
        </w:rPr>
        <w:t>于当日</w:t>
      </w:r>
      <w:r>
        <w:rPr>
          <w:rFonts w:hint="eastAsia" w:ascii="仿宋_GB2312" w:hAnsi="仿宋_GB2312" w:eastAsia="仿宋_GB2312" w:cs="仿宋_GB2312"/>
          <w:color w:val="000000"/>
          <w:sz w:val="32"/>
          <w:szCs w:val="32"/>
          <w:u w:val="none" w:color="auto"/>
        </w:rPr>
        <w:t>申请予以立案。</w:t>
      </w:r>
      <w:bookmarkEnd w:id="7"/>
      <w:bookmarkStart w:id="8" w:name="CALCULATE—QZCS—tAjqzcses_qzcsxx"/>
      <w:r>
        <w:rPr>
          <w:rFonts w:hint="eastAsia" w:ascii="仿宋_GB2312" w:hAnsi="仿宋_GB2312" w:eastAsia="仿宋_GB2312" w:cs="仿宋_GB2312"/>
          <w:color w:val="000000"/>
          <w:sz w:val="32"/>
          <w:szCs w:val="32"/>
          <w:u w:val="none" w:color="auto"/>
          <w:lang w:val="en-US" w:eastAsia="zh-CN"/>
        </w:rPr>
        <w:t xml:space="preserve">  </w:t>
      </w:r>
      <w:bookmarkEnd w:id="8"/>
    </w:p>
    <w:p w14:paraId="6438CA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 w:val="0"/>
          <w:bCs/>
          <w:color w:val="000000"/>
          <w:kern w:val="1"/>
          <w:sz w:val="32"/>
          <w:szCs w:val="32"/>
          <w:u w:val="none" w:color="auto"/>
        </w:rPr>
        <w:t>经查，</w:t>
      </w:r>
      <w:bookmarkStart w:id="9" w:name="CALCULATE—AJCF—tAjCfes_cAjss"/>
      <w:r>
        <w:rPr>
          <w:rFonts w:hint="eastAsia" w:ascii="仿宋_GB2312" w:hAnsi="仿宋_GB2312" w:eastAsia="仿宋_GB2312" w:cs="仿宋_GB2312"/>
          <w:color w:val="000000"/>
          <w:sz w:val="32"/>
          <w:szCs w:val="32"/>
          <w:u w:val="none" w:color="auto"/>
        </w:rPr>
        <w:t>经调查，山东中穗餐饮服务有限公司提供的营业执照、收款收据复印件确系当事人提供开具。陶庄镇中心小学使用的大葱、枣庄市薛城区北临城小学使用的辣椒是由当事人销售给山东中穗餐饮服务有限公司后，由山东省盐业集团枣庄有限公司配送至学校。当事人自述涉案大葱和辣椒是凌晨从大货车上购进，未留存营业执照和购进票据。大葱购进120斤，购进价格0.8元/斤，销售价格1.0元/斤；辣椒购进50斤，购进价格3.00元/斤，销售价格3.50元/斤。两者货值共计295.00元，违法所得295.00元。</w:t>
      </w:r>
    </w:p>
    <w:bookmarkEnd w:id="9"/>
    <w:p w14:paraId="66E343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上述事实，主要有以下证据证明：</w:t>
      </w:r>
    </w:p>
    <w:p w14:paraId="3901D8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1.《营业执照》复印件</w:t>
      </w:r>
      <w:r>
        <w:rPr>
          <w:rFonts w:hint="eastAsia" w:ascii="仿宋_GB2312" w:hAnsi="仿宋_GB2312" w:eastAsia="仿宋_GB2312" w:cs="仿宋_GB2312"/>
          <w:color w:val="000000"/>
          <w:sz w:val="32"/>
          <w:szCs w:val="32"/>
          <w:u w:val="none" w:color="auto"/>
          <w:lang w:val="en-US" w:eastAsia="zh-CN"/>
        </w:rPr>
        <w:t>1份</w:t>
      </w:r>
      <w:r>
        <w:rPr>
          <w:rFonts w:hint="eastAsia" w:ascii="仿宋_GB2312" w:hAnsi="仿宋_GB2312" w:eastAsia="仿宋_GB2312" w:cs="仿宋_GB2312"/>
          <w:color w:val="000000"/>
          <w:sz w:val="32"/>
          <w:szCs w:val="32"/>
          <w:u w:val="none" w:color="auto"/>
        </w:rPr>
        <w:t>，证明了薛城区曹玉铨蔬菜经营部是能够独立承担法律责任的行政法律关系主体。</w:t>
      </w:r>
    </w:p>
    <w:p w14:paraId="0B1E93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val="en-US" w:eastAsia="zh-CN"/>
        </w:rPr>
        <w:t>2</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负责人</w:t>
      </w:r>
      <w:r>
        <w:rPr>
          <w:rFonts w:hint="eastAsia" w:ascii="仿宋_GB2312" w:hAnsi="仿宋_GB2312" w:eastAsia="仿宋_GB2312" w:cs="仿宋_GB2312"/>
          <w:color w:val="000000"/>
          <w:sz w:val="32"/>
          <w:szCs w:val="32"/>
          <w:u w:val="none" w:color="auto"/>
        </w:rPr>
        <w:t>身份证复印件</w:t>
      </w:r>
      <w:r>
        <w:rPr>
          <w:rFonts w:hint="eastAsia" w:ascii="仿宋_GB2312" w:hAnsi="仿宋_GB2312" w:eastAsia="仿宋_GB2312" w:cs="仿宋_GB2312"/>
          <w:color w:val="000000"/>
          <w:sz w:val="32"/>
          <w:szCs w:val="32"/>
          <w:u w:val="none" w:color="auto"/>
          <w:lang w:val="en-US" w:eastAsia="zh-CN"/>
        </w:rPr>
        <w:t>1份</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证明被调查人身份信息。</w:t>
      </w:r>
    </w:p>
    <w:p w14:paraId="794A28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3.询问笔录1份，证明了当事人对其经营行为和经营情况的确认和解释。</w:t>
      </w:r>
    </w:p>
    <w:p w14:paraId="019D55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4.采购商询问调查及材料复印件，证明了案件来源及涉案产品销售情况。</w:t>
      </w:r>
    </w:p>
    <w:p w14:paraId="41B14B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5.检验报告复印件2份，证明了涉案产品经检验不合格。</w:t>
      </w:r>
    </w:p>
    <w:p w14:paraId="10309A2A">
      <w:pPr>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color w:val="000000"/>
          <w:sz w:val="32"/>
          <w:szCs w:val="32"/>
          <w:u w:val="none" w:color="auto"/>
        </w:rPr>
        <w:t>本局于20</w:t>
      </w:r>
      <w:r>
        <w:rPr>
          <w:rFonts w:hint="eastAsia" w:ascii="仿宋_GB2312" w:hAnsi="仿宋_GB2312" w:eastAsia="仿宋_GB2312" w:cs="仿宋_GB2312"/>
          <w:color w:val="000000"/>
          <w:sz w:val="32"/>
          <w:szCs w:val="32"/>
          <w:u w:val="none" w:color="auto"/>
          <w:lang w:val="en-US" w:eastAsia="zh-CN"/>
        </w:rPr>
        <w:t>26</w:t>
      </w:r>
      <w:r>
        <w:rPr>
          <w:rFonts w:hint="eastAsia" w:ascii="仿宋_GB2312" w:hAnsi="仿宋_GB2312" w:eastAsia="仿宋_GB2312" w:cs="仿宋_GB2312"/>
          <w:color w:val="000000"/>
          <w:sz w:val="32"/>
          <w:szCs w:val="32"/>
          <w:u w:val="none" w:color="auto"/>
        </w:rPr>
        <w:t>年</w:t>
      </w:r>
      <w:r>
        <w:rPr>
          <w:rFonts w:hint="eastAsia" w:ascii="仿宋_GB2312" w:hAnsi="仿宋_GB2312" w:eastAsia="仿宋_GB2312" w:cs="仿宋_GB2312"/>
          <w:color w:val="000000"/>
          <w:sz w:val="32"/>
          <w:szCs w:val="32"/>
          <w:u w:val="none" w:color="auto"/>
          <w:lang w:val="en-US" w:eastAsia="zh-CN"/>
        </w:rPr>
        <w:t>3</w:t>
      </w:r>
      <w:r>
        <w:rPr>
          <w:rFonts w:hint="eastAsia" w:ascii="仿宋_GB2312" w:hAnsi="仿宋_GB2312" w:eastAsia="仿宋_GB2312" w:cs="仿宋_GB2312"/>
          <w:color w:val="000000"/>
          <w:sz w:val="32"/>
          <w:szCs w:val="32"/>
          <w:u w:val="none" w:color="auto"/>
        </w:rPr>
        <w:t>月</w:t>
      </w:r>
      <w:r>
        <w:rPr>
          <w:rFonts w:hint="eastAsia" w:ascii="仿宋_GB2312" w:hAnsi="仿宋_GB2312" w:eastAsia="仿宋_GB2312" w:cs="仿宋_GB2312"/>
          <w:color w:val="000000"/>
          <w:sz w:val="32"/>
          <w:szCs w:val="32"/>
          <w:u w:val="none" w:color="auto"/>
          <w:lang w:val="en-US" w:eastAsia="zh-CN"/>
        </w:rPr>
        <w:t>19</w:t>
      </w:r>
      <w:r>
        <w:rPr>
          <w:rFonts w:hint="eastAsia" w:ascii="仿宋_GB2312" w:hAnsi="仿宋_GB2312" w:eastAsia="仿宋_GB2312" w:cs="仿宋_GB2312"/>
          <w:color w:val="000000"/>
          <w:sz w:val="32"/>
          <w:szCs w:val="32"/>
          <w:u w:val="none" w:color="auto"/>
        </w:rPr>
        <w:t>日下达《行政处罚告知书》，</w:t>
      </w:r>
      <w:r>
        <w:rPr>
          <w:rFonts w:hint="eastAsia" w:ascii="仿宋_GB2312" w:hAnsi="仿宋_GB2312" w:eastAsia="仿宋_GB2312" w:cs="仿宋_GB2312"/>
          <w:color w:val="000000"/>
          <w:sz w:val="32"/>
          <w:szCs w:val="32"/>
          <w:u w:val="none" w:color="auto"/>
          <w:lang w:eastAsia="zh-CN"/>
        </w:rPr>
        <w:t>告知当事人拟作出行政处罚的事实、理由、依据和处罚内容，告知当事人依法享有陈述、申辩的权利，</w:t>
      </w:r>
      <w:r>
        <w:rPr>
          <w:rFonts w:hint="eastAsia" w:ascii="仿宋_GB2312" w:hAnsi="仿宋_GB2312" w:eastAsia="仿宋_GB2312" w:cs="仿宋_GB2312"/>
          <w:color w:val="000000"/>
          <w:sz w:val="32"/>
          <w:szCs w:val="32"/>
          <w:u w:val="none" w:color="auto"/>
        </w:rPr>
        <w:t>并可以要求听证</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在规定时间内</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没有</w:t>
      </w:r>
      <w:r>
        <w:rPr>
          <w:rFonts w:hint="eastAsia" w:ascii="仿宋_GB2312" w:hAnsi="仿宋_GB2312" w:eastAsia="仿宋_GB2312" w:cs="仿宋_GB2312"/>
          <w:color w:val="000000"/>
          <w:sz w:val="32"/>
          <w:szCs w:val="32"/>
          <w:u w:val="none" w:color="auto"/>
          <w:lang w:eastAsia="zh-CN"/>
        </w:rPr>
        <w:t>提出</w:t>
      </w:r>
      <w:r>
        <w:rPr>
          <w:rFonts w:hint="eastAsia" w:ascii="仿宋_GB2312" w:hAnsi="仿宋_GB2312" w:eastAsia="仿宋_GB2312" w:cs="仿宋_GB2312"/>
          <w:color w:val="000000"/>
          <w:sz w:val="32"/>
          <w:szCs w:val="32"/>
          <w:u w:val="none" w:color="auto"/>
        </w:rPr>
        <w:t>陈述、申辩</w:t>
      </w:r>
      <w:r>
        <w:rPr>
          <w:rFonts w:hint="eastAsia" w:ascii="仿宋_GB2312" w:hAnsi="仿宋_GB2312" w:eastAsia="仿宋_GB2312" w:cs="仿宋_GB2312"/>
          <w:color w:val="000000"/>
          <w:sz w:val="32"/>
          <w:szCs w:val="32"/>
          <w:u w:val="none" w:color="auto"/>
          <w:lang w:eastAsia="zh-CN"/>
        </w:rPr>
        <w:t>意见，</w:t>
      </w:r>
      <w:r>
        <w:rPr>
          <w:rFonts w:hint="eastAsia" w:ascii="仿宋_GB2312" w:hAnsi="仿宋_GB2312" w:eastAsia="仿宋_GB2312" w:cs="仿宋_GB2312"/>
          <w:color w:val="000000"/>
          <w:sz w:val="32"/>
          <w:szCs w:val="32"/>
          <w:u w:val="none" w:color="auto"/>
        </w:rPr>
        <w:t>未要求听证的，</w:t>
      </w:r>
      <w:r>
        <w:rPr>
          <w:rFonts w:hint="eastAsia" w:ascii="仿宋_GB2312" w:hAnsi="仿宋_GB2312" w:eastAsia="仿宋_GB2312" w:cs="仿宋_GB2312"/>
          <w:color w:val="000000"/>
          <w:sz w:val="32"/>
          <w:szCs w:val="32"/>
          <w:u w:val="none" w:color="auto"/>
          <w:lang w:eastAsia="zh-CN"/>
        </w:rPr>
        <w:t>视为放弃该权利。</w:t>
      </w:r>
    </w:p>
    <w:p w14:paraId="6A7005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 w:val="0"/>
          <w:bCs/>
          <w:color w:val="000000"/>
          <w:kern w:val="1"/>
          <w:sz w:val="32"/>
          <w:szCs w:val="32"/>
          <w:u w:val="none" w:color="auto"/>
        </w:rPr>
        <w:t>本局认为，</w:t>
      </w:r>
      <w:r>
        <w:rPr>
          <w:rFonts w:hint="eastAsia" w:ascii="仿宋_GB2312" w:hAnsi="仿宋_GB2312" w:eastAsia="仿宋_GB2312" w:cs="仿宋_GB2312"/>
          <w:bCs/>
          <w:color w:val="000000"/>
          <w:sz w:val="32"/>
          <w:szCs w:val="32"/>
          <w:u w:val="none" w:color="auto"/>
          <w:lang w:val="en-US" w:eastAsia="zh-CN"/>
        </w:rPr>
        <w:t>当事人</w:t>
      </w:r>
      <w:r>
        <w:rPr>
          <w:rFonts w:hint="eastAsia" w:ascii="仿宋_GB2312" w:hAnsi="仿宋_GB2312" w:eastAsia="仿宋_GB2312" w:cs="仿宋_GB2312"/>
          <w:bCs/>
          <w:color w:val="000000"/>
          <w:sz w:val="32"/>
          <w:szCs w:val="32"/>
          <w:u w:val="none" w:color="auto"/>
        </w:rPr>
        <w:t>经营不符合食品安全标准的食用农产品</w:t>
      </w:r>
      <w:r>
        <w:rPr>
          <w:rFonts w:hint="eastAsia" w:ascii="仿宋_GB2312" w:hAnsi="仿宋_GB2312" w:eastAsia="仿宋_GB2312" w:cs="仿宋_GB2312"/>
          <w:bCs/>
          <w:color w:val="000000"/>
          <w:sz w:val="32"/>
          <w:szCs w:val="32"/>
          <w:u w:val="none" w:color="auto"/>
          <w:lang w:val="en-US" w:eastAsia="zh-CN"/>
        </w:rPr>
        <w:t>的行为，违反了</w:t>
      </w:r>
      <w:r>
        <w:rPr>
          <w:rFonts w:hint="eastAsia" w:ascii="仿宋_GB2312" w:hAnsi="仿宋_GB2312" w:eastAsia="仿宋_GB2312" w:cs="仿宋_GB2312"/>
          <w:color w:val="000000"/>
          <w:sz w:val="32"/>
          <w:szCs w:val="32"/>
          <w:u w:val="none" w:color="auto"/>
        </w:rPr>
        <w:t>《食用农产品市场销售质量安全监督管理办法》第十五条第一款“禁止销售者采购、销售食品安全法第三十四条规定情形的食用农产品”</w:t>
      </w:r>
      <w:r>
        <w:rPr>
          <w:rFonts w:hint="eastAsia" w:ascii="仿宋_GB2312" w:hAnsi="仿宋_GB2312" w:eastAsia="仿宋_GB2312" w:cs="仿宋_GB2312"/>
          <w:color w:val="000000"/>
          <w:sz w:val="32"/>
          <w:szCs w:val="32"/>
          <w:u w:val="none" w:color="auto"/>
          <w:lang w:val="en-US" w:eastAsia="zh-CN"/>
        </w:rPr>
        <w:t>和</w:t>
      </w:r>
      <w:r>
        <w:rPr>
          <w:rFonts w:hint="eastAsia" w:ascii="仿宋_GB2312" w:hAnsi="仿宋_GB2312" w:eastAsia="仿宋_GB2312" w:cs="仿宋_GB2312"/>
          <w:color w:val="000000"/>
          <w:sz w:val="32"/>
          <w:szCs w:val="32"/>
          <w:u w:val="none" w:color="auto"/>
        </w:rPr>
        <w:t>《中华人民共和国食品安全法》</w:t>
      </w:r>
      <w:r>
        <w:rPr>
          <w:rFonts w:hint="eastAsia" w:ascii="仿宋_GB2312" w:hAnsi="仿宋_GB2312" w:eastAsia="仿宋_GB2312" w:cs="仿宋_GB2312"/>
          <w:color w:val="000000"/>
          <w:sz w:val="32"/>
          <w:szCs w:val="32"/>
          <w:u w:val="none" w:color="auto"/>
          <w:lang w:val="en-US" w:eastAsia="zh-CN"/>
        </w:rPr>
        <w:t>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w:t>
      </w:r>
      <w:r>
        <w:rPr>
          <w:rFonts w:hint="eastAsia" w:ascii="仿宋_GB2312" w:hAnsi="仿宋_GB2312" w:eastAsia="仿宋_GB2312" w:cs="仿宋_GB2312"/>
          <w:color w:val="000000"/>
          <w:sz w:val="32"/>
          <w:szCs w:val="32"/>
          <w:u w:val="none" w:color="auto"/>
        </w:rPr>
        <w:t>的规定</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依据《食用农产品市场销售质量安全监督管理办法》第四十二条“销售者违反本办法第十五条规定，采购、销售食品安全法第三十四条规定情形的食用农产品的，由县级以上市场监督管理部门依照食品安全法有关规定给予处罚”及《中华人民共和国食品安全法》第一百二十四条第一款第</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一</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的规定</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给予当事人以下处罚：</w:t>
      </w:r>
      <w:r>
        <w:rPr>
          <w:rFonts w:hint="eastAsia" w:ascii="仿宋_GB2312" w:hAnsi="仿宋_GB2312" w:eastAsia="仿宋_GB2312" w:cs="仿宋_GB2312"/>
          <w:color w:val="000000"/>
          <w:sz w:val="32"/>
          <w:szCs w:val="32"/>
          <w:u w:val="none" w:color="auto"/>
        </w:rPr>
        <w:t>没收违法所得贰佰玖拾伍元整（¥295.00）；罚款伍仟元整（¥5000.00）</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 xml:space="preserve">           </w:t>
      </w:r>
    </w:p>
    <w:p w14:paraId="1CEDBD6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val="en-US" w:eastAsia="zh-CN"/>
        </w:rPr>
        <w:t>当事人未履行进货查验义务的行为违反了《食用农产品市场销售质量安全监督管理办法》第八条第一款“销售者采购食用农产品，应当依照食品安全法第六十五条的规定建立食用农产品进货查验记录制度，索取并留存食用农产品进货凭证，并核对供货者等有关信息”和《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的规定。</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color w:val="000000"/>
          <w:sz w:val="32"/>
          <w:szCs w:val="32"/>
          <w:u w:val="none" w:color="auto"/>
        </w:rPr>
        <w:t>依据《食用农产品市场销售质量安全监督管理办法》第三十九条第一项“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及《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责令当事人改正违法行为，并给予警告</w:t>
      </w:r>
      <w:r>
        <w:rPr>
          <w:rFonts w:hint="eastAsia" w:ascii="仿宋_GB2312" w:hAnsi="仿宋_GB2312" w:eastAsia="仿宋_GB2312" w:cs="仿宋_GB2312"/>
          <w:color w:val="000000"/>
          <w:sz w:val="32"/>
          <w:szCs w:val="32"/>
          <w:u w:val="none" w:color="auto"/>
        </w:rPr>
        <w:t>。</w:t>
      </w:r>
    </w:p>
    <w:p w14:paraId="235131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sz w:val="32"/>
          <w:szCs w:val="32"/>
          <w:u w:val="none" w:color="auto"/>
        </w:rPr>
      </w:pPr>
      <w:bookmarkStart w:id="10" w:name="CALCULATE—AJCF—tAjCfes_cZyclsshly"/>
      <w:r>
        <w:rPr>
          <w:rFonts w:hint="eastAsia" w:ascii="仿宋_GB2312" w:hAnsi="仿宋_GB2312" w:eastAsia="仿宋_GB2312" w:cs="仿宋_GB2312"/>
          <w:color w:val="000000"/>
          <w:sz w:val="32"/>
          <w:szCs w:val="32"/>
          <w:u w:val="none" w:color="auto"/>
        </w:rPr>
        <w:t>鉴于该案涉案产品系当事人从他处购进，不知道其农药残留超过食品安全标准限量，并非主观故意；当事人积极配合调查取证，如实提供相关证据材料；符合《 山东省市场监督管理行政处罚裁量权适用规则》第十二条第（三）项“当事人有下列情形之一，可以从轻或者减轻处罚：（三）积极配合市场监督管理部门调查并主动提供证据材料的；”关于减轻处罚考量因素，同时依据《中华人民共和国行政处罚法》第五条第二款“设定和实施行政处罚必须以事实为依据，与违法行为的事实、性质、情节以及社会危害程度相当”以及第六条“实施行政处罚，纠正违法行为，应当坚持处罚与教育相结合，教育公民、法人或者其他组织自觉守法”的规定，</w:t>
      </w:r>
      <w:r>
        <w:rPr>
          <w:rFonts w:hint="eastAsia" w:ascii="仿宋_GB2312" w:hAnsi="仿宋_GB2312" w:eastAsia="仿宋_GB2312" w:cs="仿宋_GB2312"/>
          <w:color w:val="000000"/>
          <w:sz w:val="32"/>
          <w:szCs w:val="32"/>
          <w:u w:val="none" w:color="auto"/>
          <w:lang w:val="en-US" w:eastAsia="zh-CN"/>
        </w:rPr>
        <w:t xml:space="preserve"> </w:t>
      </w:r>
      <w:r>
        <w:rPr>
          <w:rFonts w:hint="eastAsia" w:ascii="仿宋_GB2312" w:hAnsi="仿宋_GB2312" w:eastAsia="仿宋_GB2312" w:cs="仿宋_GB2312"/>
          <w:color w:val="000000"/>
          <w:sz w:val="32"/>
          <w:szCs w:val="32"/>
          <w:u w:val="none" w:color="auto"/>
        </w:rPr>
        <w:t>对当事人减轻处罚。</w:t>
      </w:r>
      <w:bookmarkEnd w:id="10"/>
      <w:r>
        <w:rPr>
          <w:rFonts w:hint="eastAsia" w:ascii="仿宋_GB2312" w:hAnsi="仿宋_GB2312" w:eastAsia="仿宋_GB2312" w:cs="仿宋_GB2312"/>
          <w:bCs/>
          <w:color w:val="000000"/>
          <w:sz w:val="32"/>
          <w:szCs w:val="32"/>
          <w:u w:val="none" w:color="auto"/>
        </w:rPr>
        <w:t xml:space="preserve">                                           </w:t>
      </w:r>
    </w:p>
    <w:p w14:paraId="6D58CFB0">
      <w:pPr>
        <w:pStyle w:val="3"/>
        <w:keepNext w:val="0"/>
        <w:keepLines w:val="0"/>
        <w:pageBreakBefore w:val="0"/>
        <w:widowControl w:val="0"/>
        <w:tabs>
          <w:tab w:val="left" w:pos="9060"/>
        </w:tabs>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综上，当事人上述行为</w:t>
      </w:r>
      <w:r>
        <w:rPr>
          <w:rFonts w:hint="eastAsia" w:ascii="仿宋_GB2312" w:hAnsi="仿宋_GB2312" w:eastAsia="仿宋_GB2312" w:cs="仿宋_GB2312"/>
          <w:bCs/>
          <w:color w:val="000000"/>
          <w:sz w:val="32"/>
          <w:szCs w:val="32"/>
          <w:u w:val="none" w:color="auto"/>
          <w:lang w:val="en-US" w:eastAsia="zh-CN"/>
        </w:rPr>
        <w:t>违反了</w:t>
      </w:r>
      <w:r>
        <w:rPr>
          <w:rFonts w:hint="eastAsia" w:ascii="仿宋_GB2312" w:hAnsi="仿宋_GB2312" w:eastAsia="仿宋_GB2312" w:cs="仿宋_GB2312"/>
          <w:color w:val="000000"/>
          <w:sz w:val="32"/>
          <w:szCs w:val="32"/>
          <w:u w:val="none" w:color="auto"/>
        </w:rPr>
        <w:t>《食用农产品市场销售质量安全监督管理办法》第十五条第一款</w:t>
      </w:r>
      <w:r>
        <w:rPr>
          <w:rFonts w:hint="eastAsia" w:ascii="仿宋_GB2312" w:hAnsi="仿宋_GB2312" w:eastAsia="仿宋_GB2312" w:cs="仿宋_GB2312"/>
          <w:color w:val="000000"/>
          <w:sz w:val="32"/>
          <w:szCs w:val="32"/>
          <w:u w:val="none" w:color="auto"/>
          <w:lang w:val="en-US" w:eastAsia="zh-CN"/>
        </w:rPr>
        <w:t>的规定</w:t>
      </w:r>
      <w:r>
        <w:rPr>
          <w:rFonts w:hint="eastAsia" w:ascii="仿宋_GB2312" w:hAnsi="仿宋_GB2312" w:eastAsia="仿宋_GB2312" w:cs="仿宋_GB2312"/>
          <w:b w:val="0"/>
          <w:bCs/>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依据《食用农产品市场销售质量安全监督管理办法》第四十二条</w:t>
      </w:r>
      <w:r>
        <w:rPr>
          <w:rFonts w:hint="eastAsia" w:ascii="仿宋_GB2312" w:hAnsi="仿宋_GB2312" w:eastAsia="仿宋_GB2312" w:cs="仿宋_GB2312"/>
          <w:color w:val="000000"/>
          <w:sz w:val="32"/>
          <w:szCs w:val="32"/>
          <w:u w:val="none" w:color="auto"/>
          <w:lang w:val="en-US" w:eastAsia="zh-CN"/>
        </w:rPr>
        <w:t>的规定进行处罚。</w:t>
      </w:r>
      <w:r>
        <w:rPr>
          <w:rFonts w:hint="eastAsia" w:ascii="仿宋_GB2312" w:hAnsi="仿宋_GB2312" w:eastAsia="仿宋_GB2312" w:cs="仿宋_GB2312"/>
          <w:color w:val="000000"/>
          <w:sz w:val="32"/>
          <w:szCs w:val="32"/>
          <w:u w:val="none" w:color="auto"/>
        </w:rPr>
        <w:t>同时依据《中华人民共和国行政处罚法》第二十八条“行政机关实施行政处罚时，应当责令当事人改正或者限期改正违法行为”的规定</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b w:val="0"/>
          <w:bCs/>
          <w:color w:val="000000"/>
          <w:kern w:val="1"/>
          <w:sz w:val="32"/>
          <w:szCs w:val="32"/>
          <w:u w:val="none" w:color="auto"/>
          <w:lang w:val="en-US" w:eastAsia="zh-CN"/>
        </w:rPr>
        <w:t>经我局案件集体讨论</w:t>
      </w:r>
      <w:r>
        <w:rPr>
          <w:rFonts w:hint="eastAsia" w:ascii="仿宋_GB2312" w:hAnsi="仿宋_GB2312" w:eastAsia="仿宋_GB2312" w:cs="仿宋_GB2312"/>
          <w:b w:val="0"/>
          <w:bCs/>
          <w:color w:val="000000"/>
          <w:kern w:val="1"/>
          <w:sz w:val="32"/>
          <w:szCs w:val="32"/>
          <w:u w:val="none" w:color="auto"/>
        </w:rPr>
        <w:t>决定处罚如下：</w:t>
      </w:r>
    </w:p>
    <w:p w14:paraId="65BA98C9">
      <w:pPr>
        <w:pStyle w:val="3"/>
        <w:keepNext w:val="0"/>
        <w:keepLines w:val="0"/>
        <w:pageBreakBefore w:val="0"/>
        <w:widowControl w:val="0"/>
        <w:numPr>
          <w:ilvl w:val="0"/>
          <w:numId w:val="0"/>
        </w:numPr>
        <w:tabs>
          <w:tab w:val="left" w:pos="9060"/>
        </w:tabs>
        <w:kinsoku/>
        <w:overflowPunct/>
        <w:topLinePunct w:val="0"/>
        <w:bidi w:val="0"/>
        <w:snapToGrid/>
        <w:spacing w:line="5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val="en-US" w:eastAsia="zh-CN"/>
        </w:rPr>
        <w:t>1.</w:t>
      </w:r>
      <w:r>
        <w:rPr>
          <w:rFonts w:hint="eastAsia" w:ascii="仿宋_GB2312" w:hAnsi="仿宋_GB2312" w:eastAsia="仿宋_GB2312" w:cs="仿宋_GB2312"/>
          <w:color w:val="000000"/>
          <w:sz w:val="32"/>
          <w:szCs w:val="32"/>
          <w:u w:val="none" w:color="auto"/>
        </w:rPr>
        <w:t>警告；</w:t>
      </w:r>
    </w:p>
    <w:p w14:paraId="7018AC4F">
      <w:pPr>
        <w:pStyle w:val="3"/>
        <w:keepNext w:val="0"/>
        <w:keepLines w:val="0"/>
        <w:pageBreakBefore w:val="0"/>
        <w:widowControl w:val="0"/>
        <w:numPr>
          <w:ilvl w:val="0"/>
          <w:numId w:val="0"/>
        </w:numPr>
        <w:tabs>
          <w:tab w:val="left" w:pos="9060"/>
        </w:tabs>
        <w:kinsoku/>
        <w:overflowPunct/>
        <w:topLinePunct w:val="0"/>
        <w:bidi w:val="0"/>
        <w:snapToGrid/>
        <w:spacing w:line="5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2.没收违法所得贰佰玖拾伍元整（¥295.00）；</w:t>
      </w:r>
    </w:p>
    <w:p w14:paraId="4066D163">
      <w:pPr>
        <w:pStyle w:val="3"/>
        <w:keepNext w:val="0"/>
        <w:keepLines w:val="0"/>
        <w:pageBreakBefore w:val="0"/>
        <w:widowControl w:val="0"/>
        <w:numPr>
          <w:ilvl w:val="0"/>
          <w:numId w:val="0"/>
        </w:numPr>
        <w:tabs>
          <w:tab w:val="left" w:pos="9060"/>
        </w:tabs>
        <w:kinsoku/>
        <w:overflowPunct/>
        <w:topLinePunct w:val="0"/>
        <w:bidi w:val="0"/>
        <w:snapToGrid/>
        <w:spacing w:line="5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3.罚款伍仟元整（¥5000.00）；</w:t>
      </w:r>
    </w:p>
    <w:p w14:paraId="64315D9A">
      <w:pPr>
        <w:pStyle w:val="3"/>
        <w:keepNext w:val="0"/>
        <w:keepLines w:val="0"/>
        <w:pageBreakBefore w:val="0"/>
        <w:widowControl w:val="0"/>
        <w:numPr>
          <w:ilvl w:val="0"/>
          <w:numId w:val="0"/>
        </w:numPr>
        <w:tabs>
          <w:tab w:val="left" w:pos="9060"/>
        </w:tabs>
        <w:kinsoku/>
        <w:overflowPunct/>
        <w:topLinePunct w:val="0"/>
        <w:bidi w:val="0"/>
        <w:snapToGrid/>
        <w:spacing w:line="5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罚没款合计伍仟贰佰玖拾伍元整（¥5295.00）.</w:t>
      </w:r>
    </w:p>
    <w:p w14:paraId="14E4B9AB">
      <w:pPr>
        <w:pStyle w:val="3"/>
        <w:keepNext w:val="0"/>
        <w:keepLines w:val="0"/>
        <w:pageBreakBefore w:val="0"/>
        <w:widowControl w:val="0"/>
        <w:numPr>
          <w:ilvl w:val="0"/>
          <w:numId w:val="0"/>
        </w:numPr>
        <w:tabs>
          <w:tab w:val="left" w:pos="9060"/>
        </w:tabs>
        <w:kinsoku/>
        <w:overflowPunct/>
        <w:topLinePunct w:val="0"/>
        <w:bidi w:val="0"/>
        <w:snapToGrid/>
        <w:spacing w:line="500" w:lineRule="exact"/>
        <w:textAlignment w:val="auto"/>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kern w:val="2"/>
          <w:sz w:val="32"/>
          <w:szCs w:val="32"/>
          <w:u w:val="none" w:color="auto"/>
          <w:lang w:val="en-US" w:eastAsia="zh-CN" w:bidi="ar-SA"/>
        </w:rPr>
        <w:t>当事人应当自收到本行政处罚决定之日起十五日内，缴纳罚款，到期不缴纳罚款的，依据《中华人民共和国行政处罚法》第</w:t>
      </w:r>
      <w:r>
        <w:rPr>
          <w:rFonts w:hint="eastAsia" w:ascii="仿宋_GB2312" w:hAnsi="仿宋_GB2312" w:eastAsia="仿宋_GB2312" w:cs="仿宋_GB2312"/>
          <w:b w:val="0"/>
          <w:bCs/>
          <w:color w:val="000000"/>
          <w:kern w:val="2"/>
          <w:sz w:val="32"/>
          <w:szCs w:val="32"/>
          <w:u w:val="none" w:color="auto"/>
          <w:lang w:val="en-US" w:eastAsia="zh-Hans" w:bidi="ar-SA"/>
        </w:rPr>
        <w:t>七十二</w:t>
      </w:r>
      <w:r>
        <w:rPr>
          <w:rFonts w:hint="eastAsia" w:ascii="仿宋_GB2312" w:hAnsi="仿宋_GB2312" w:eastAsia="仿宋_GB2312" w:cs="仿宋_GB2312"/>
          <w:b w:val="0"/>
          <w:bCs/>
          <w:color w:val="000000"/>
          <w:kern w:val="2"/>
          <w:sz w:val="32"/>
          <w:szCs w:val="32"/>
          <w:u w:val="none" w:color="auto"/>
          <w:lang w:val="en-US" w:eastAsia="zh-CN" w:bidi="ar-SA"/>
        </w:rPr>
        <w:t xml:space="preserve">条的规定，本局将每日按罚款数额的百分之三加处罚款，并依法申请人民法院强制执行。 </w:t>
      </w:r>
      <w:r>
        <w:rPr>
          <w:rFonts w:hint="eastAsia" w:ascii="仿宋_GB2312" w:hAnsi="仿宋_GB2312" w:eastAsia="仿宋_GB2312" w:cs="仿宋_GB2312"/>
          <w:b w:val="0"/>
          <w:bCs/>
          <w:color w:val="000000"/>
          <w:sz w:val="32"/>
          <w:szCs w:val="32"/>
          <w:u w:val="none" w:color="auto"/>
        </w:rPr>
        <w:t xml:space="preserve">                                                </w:t>
      </w:r>
    </w:p>
    <w:p w14:paraId="7C61682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仿宋_GB2312"/>
          <w:color w:val="auto"/>
          <w:sz w:val="32"/>
          <w:szCs w:val="32"/>
          <w:lang w:val="en-US" w:eastAsia="zh-Hans"/>
        </w:rPr>
      </w:pPr>
      <w:r>
        <w:rPr>
          <w:rFonts w:hint="eastAsia" w:ascii="仿宋_GB2312" w:hAnsi="仿宋_GB2312" w:eastAsia="仿宋_GB2312" w:cs="仿宋_GB2312"/>
          <w:color w:val="000000"/>
          <w:sz w:val="32"/>
          <w:szCs w:val="32"/>
          <w:u w:val="none" w:color="auto"/>
          <w:lang w:val="en-US" w:eastAsia="zh-CN"/>
        </w:rPr>
        <w:t>当事人如不服本行政处罚决定，可自收到本行政处罚决定书之日起六十日内，依法向薛城区人民政府申请复议；也可以自收到本行政处罚决定书之日起6个月内依法向薛城区人民法院等有管辖权的法院提起行政诉讼。诉讼、复议期间，本行政处罚不停止执行。</w:t>
      </w:r>
      <w:r>
        <w:rPr>
          <w:rFonts w:hint="eastAsia" w:ascii="仿宋_GB2312" w:hAnsi="仿宋_GB2312" w:eastAsia="仿宋_GB2312" w:cs="仿宋_GB2312"/>
          <w:b w:val="0"/>
          <w:bCs/>
          <w:color w:val="000000"/>
          <w:kern w:val="2"/>
          <w:sz w:val="32"/>
          <w:szCs w:val="32"/>
          <w:u w:val="none" w:color="auto"/>
          <w:lang w:val="en-US" w:eastAsia="zh-CN" w:bidi="ar-SA"/>
        </w:rPr>
        <w:t>(网上提交行政复议申请网址:http://124.128.58.185:9082/entrance?redirect=%2Findex)。</w:t>
      </w:r>
    </w:p>
    <w:p w14:paraId="0B0FEB4B">
      <w:pPr>
        <w:keepNext w:val="0"/>
        <w:keepLines w:val="0"/>
        <w:pageBreakBefore w:val="0"/>
        <w:widowControl w:val="0"/>
        <w:kinsoku/>
        <w:overflowPunct/>
        <w:topLinePunct w:val="0"/>
        <w:bidi w:val="0"/>
        <w:snapToGrid/>
        <w:spacing w:line="500" w:lineRule="exact"/>
        <w:ind w:right="640" w:firstLine="601"/>
        <w:jc w:val="right"/>
        <w:textAlignment w:val="auto"/>
        <w:rPr>
          <w:rFonts w:hint="eastAsia" w:ascii="Times New Roman" w:hAnsi="Times New Roman" w:eastAsia="仿宋_GB2312" w:cs="仿宋"/>
          <w:color w:val="auto"/>
          <w:sz w:val="32"/>
        </w:rPr>
      </w:pPr>
      <w:bookmarkStart w:id="11" w:name="DYNAMIC—DWXX—tAj_dwmc—2"/>
    </w:p>
    <w:p w14:paraId="743E4F6B">
      <w:pPr>
        <w:keepNext w:val="0"/>
        <w:keepLines w:val="0"/>
        <w:pageBreakBefore w:val="0"/>
        <w:widowControl w:val="0"/>
        <w:kinsoku/>
        <w:overflowPunct/>
        <w:topLinePunct w:val="0"/>
        <w:bidi w:val="0"/>
        <w:snapToGrid/>
        <w:spacing w:line="500" w:lineRule="exact"/>
        <w:ind w:right="640" w:firstLine="601"/>
        <w:jc w:val="right"/>
        <w:textAlignment w:val="auto"/>
        <w:rPr>
          <w:rFonts w:hint="eastAsia" w:ascii="Times New Roman" w:hAnsi="Times New Roman" w:eastAsia="仿宋_GB2312" w:cs="仿宋"/>
          <w:color w:val="auto"/>
          <w:sz w:val="32"/>
        </w:rPr>
      </w:pPr>
    </w:p>
    <w:p w14:paraId="05620C3B">
      <w:pPr>
        <w:keepNext w:val="0"/>
        <w:keepLines w:val="0"/>
        <w:pageBreakBefore w:val="0"/>
        <w:widowControl w:val="0"/>
        <w:kinsoku/>
        <w:overflowPunct/>
        <w:topLinePunct w:val="0"/>
        <w:bidi w:val="0"/>
        <w:snapToGrid/>
        <w:spacing w:line="500" w:lineRule="exact"/>
        <w:ind w:right="640" w:firstLine="601"/>
        <w:jc w:val="right"/>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000000"/>
          <w:sz w:val="32"/>
          <w:u w:val="none"/>
        </w:rPr>
        <w:t>薛城区市场监督管理局</w:t>
      </w:r>
      <w:bookmarkEnd w:id="11"/>
      <w:r>
        <w:rPr>
          <w:rFonts w:hint="eastAsia" w:ascii="Times New Roman" w:hAnsi="Times New Roman" w:eastAsia="仿宋_GB2312" w:cs="仿宋"/>
          <w:color w:val="000000"/>
          <w:sz w:val="32"/>
          <w:szCs w:val="32"/>
          <w:u w:val="none"/>
        </w:rPr>
        <w:t xml:space="preserve">    </w:t>
      </w:r>
    </w:p>
    <w:p w14:paraId="5C9C65F5">
      <w:pPr>
        <w:keepNext w:val="0"/>
        <w:keepLines w:val="0"/>
        <w:pageBreakBefore w:val="0"/>
        <w:widowControl w:val="0"/>
        <w:kinsoku/>
        <w:overflowPunct/>
        <w:topLinePunct w:val="0"/>
        <w:bidi w:val="0"/>
        <w:snapToGrid/>
        <w:spacing w:line="500" w:lineRule="exact"/>
        <w:ind w:right="640" w:firstLine="601"/>
        <w:jc w:val="right"/>
        <w:textAlignment w:val="auto"/>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54C4151C">
      <w:pPr>
        <w:keepNext w:val="0"/>
        <w:keepLines w:val="0"/>
        <w:pageBreakBefore w:val="0"/>
        <w:widowControl w:val="0"/>
        <w:kinsoku/>
        <w:wordWrap/>
        <w:overflowPunct/>
        <w:topLinePunct w:val="0"/>
        <w:autoSpaceDE/>
        <w:autoSpaceDN/>
        <w:bidi w:val="0"/>
        <w:adjustRightInd/>
        <w:snapToGrid/>
        <w:spacing w:line="500" w:lineRule="exact"/>
        <w:ind w:left="0" w:leftChars="0" w:right="630" w:rightChars="300" w:firstLine="600" w:firstLineChars="0"/>
        <w:jc w:val="right"/>
        <w:textAlignment w:val="auto"/>
        <w:outlineLvl w:val="9"/>
        <w:rPr>
          <w:rFonts w:hint="eastAsia" w:ascii="Times New Roman" w:hAnsi="Times New Roman" w:eastAsia="仿宋_GB2312" w:cs="仿宋_GB2312"/>
          <w:color w:val="auto"/>
          <w:sz w:val="32"/>
          <w:szCs w:val="32"/>
        </w:rPr>
      </w:pPr>
      <w:bookmarkStart w:id="12" w:name="CALCULATE—TIME—NOW"/>
      <w:r>
        <w:rPr>
          <w:rFonts w:hint="eastAsia" w:ascii="仿宋_GB2312" w:hAnsi="Times New Roman" w:eastAsia="仿宋_GB2312" w:cs="仿宋"/>
          <w:color w:val="000000"/>
          <w:sz w:val="32"/>
          <w:u w:val="none"/>
        </w:rPr>
        <w:t>2026年3月</w:t>
      </w:r>
      <w:r>
        <w:rPr>
          <w:rFonts w:hint="eastAsia" w:ascii="仿宋_GB2312" w:hAnsi="Times New Roman" w:eastAsia="仿宋_GB2312" w:cs="仿宋"/>
          <w:color w:val="000000"/>
          <w:sz w:val="32"/>
          <w:u w:val="none"/>
          <w:lang w:val="en-US" w:eastAsia="zh-CN"/>
        </w:rPr>
        <w:t>30</w:t>
      </w:r>
      <w:r>
        <w:rPr>
          <w:rFonts w:hint="eastAsia" w:ascii="仿宋_GB2312" w:hAnsi="Times New Roman" w:eastAsia="仿宋_GB2312" w:cs="仿宋"/>
          <w:color w:val="000000"/>
          <w:sz w:val="32"/>
          <w:u w:val="none"/>
        </w:rPr>
        <w:t>日</w:t>
      </w:r>
      <w:bookmarkEnd w:id="12"/>
      <w:r>
        <w:rPr>
          <w:rFonts w:hint="eastAsia" w:ascii="Times New Roman" w:hAnsi="Times New Roman" w:eastAsia="仿宋_GB2312" w:cs="仿宋_GB2312"/>
          <w:color w:val="000000"/>
          <w:sz w:val="32"/>
          <w:szCs w:val="32"/>
          <w:u w:val="none"/>
        </w:rPr>
        <w:t xml:space="preserve">  </w:t>
      </w:r>
    </w:p>
    <w:p w14:paraId="31E12921">
      <w:pPr>
        <w:keepNext w:val="0"/>
        <w:keepLines w:val="0"/>
        <w:pageBreakBefore w:val="0"/>
        <w:widowControl w:val="0"/>
        <w:kinsoku/>
        <w:wordWrap/>
        <w:overflowPunct/>
        <w:topLinePunct w:val="0"/>
        <w:autoSpaceDE/>
        <w:autoSpaceDN/>
        <w:bidi w:val="0"/>
        <w:adjustRightInd/>
        <w:snapToGrid/>
        <w:spacing w:line="500" w:lineRule="exact"/>
        <w:ind w:left="0" w:leftChars="0" w:right="630" w:rightChars="300" w:firstLine="600" w:firstLineChars="0"/>
        <w:jc w:val="right"/>
        <w:textAlignment w:val="auto"/>
        <w:outlineLvl w:val="9"/>
        <w:rPr>
          <w:rFonts w:hint="eastAsia" w:ascii="Times New Roman" w:hAnsi="Times New Roman" w:eastAsia="仿宋_GB2312" w:cs="仿宋_GB2312"/>
          <w:color w:val="auto"/>
          <w:sz w:val="32"/>
          <w:szCs w:val="32"/>
        </w:rPr>
      </w:pPr>
    </w:p>
    <w:p w14:paraId="5B67AE61">
      <w:pPr>
        <w:keepNext w:val="0"/>
        <w:keepLines w:val="0"/>
        <w:pageBreakBefore w:val="0"/>
        <w:widowControl w:val="0"/>
        <w:kinsoku/>
        <w:wordWrap/>
        <w:overflowPunct/>
        <w:topLinePunct w:val="0"/>
        <w:autoSpaceDE/>
        <w:autoSpaceDN/>
        <w:bidi w:val="0"/>
        <w:adjustRightInd/>
        <w:snapToGrid/>
        <w:spacing w:line="500" w:lineRule="exact"/>
        <w:ind w:right="630" w:rightChars="300"/>
        <w:jc w:val="both"/>
        <w:textAlignment w:val="auto"/>
        <w:outlineLvl w:val="9"/>
        <w:rPr>
          <w:rFonts w:hint="eastAsia" w:ascii="Times New Roman" w:hAnsi="Times New Roman" w:eastAsia="仿宋_GB2312" w:cs="仿宋_GB2312"/>
          <w:color w:val="auto"/>
          <w:sz w:val="32"/>
          <w:szCs w:val="32"/>
        </w:rPr>
      </w:pPr>
    </w:p>
    <w:p w14:paraId="5A47480E">
      <w:pPr>
        <w:pStyle w:val="3"/>
        <w:keepNext w:val="0"/>
        <w:keepLines w:val="0"/>
        <w:pageBreakBefore w:val="0"/>
        <w:widowControl w:val="0"/>
        <w:kinsoku/>
        <w:overflowPunct/>
        <w:topLinePunct w:val="0"/>
        <w:bidi w:val="0"/>
        <w:snapToGrid/>
        <w:spacing w:before="1" w:line="500" w:lineRule="exact"/>
        <w:ind w:left="163"/>
        <w:textAlignment w:val="auto"/>
        <w:rPr>
          <w:rFonts w:ascii="Times New Roman" w:hAnsi="Times New Roman" w:eastAsia="仿宋_GB2312" w:cs="仿宋"/>
          <w:bCs/>
          <w:color w:val="auto"/>
          <w:sz w:val="44"/>
          <w:szCs w:val="44"/>
        </w:rPr>
      </w:pPr>
      <w:r>
        <w:rPr>
          <w:rFonts w:hint="eastAsia" w:ascii="黑体" w:hAnsi="黑体" w:eastAsia="黑体"/>
          <w:color w:val="000000"/>
          <w:spacing w:val="-16"/>
          <w:u w:val="none"/>
        </w:rPr>
        <w:t>（市场监督管理部门将依法向社会公开行政处罚决定信息）</w:t>
      </w:r>
    </w:p>
    <w:p w14:paraId="454B5373">
      <w:pPr>
        <w:spacing w:line="500" w:lineRule="exact"/>
        <w:rPr>
          <w:rFonts w:hint="eastAsia" w:ascii="Times New Roman" w:hAnsi="Times New Roman" w:eastAsia="仿宋_GB2312" w:cs="仿宋"/>
          <w:color w:val="auto"/>
          <w:sz w:val="32"/>
          <w:szCs w:val="32"/>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231140</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pt;margin-top:18.2pt;height:0.05pt;width:437.05pt;z-index:251661312;mso-width-relative:page;mso-height-relative:page;" filled="f" stroked="t" coordsize="21600,21600" o:gfxdata="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7vwIPYAAAACAEAAA8AAAAAAAAAAQAgAAAAIgAAAGRycy9kb3ducmV2LnhtbFBLAQIUABQAAAAI&#10;AIdO4kCWTccB7QEAAN0DAAAOAAAAAAAAAAEAIAAAACcBAABkcnMvZTJvRG9jLnhtbFBLBQYAAAAA&#10;BgAGAFkBAACGBQAAAAA=&#10;">
                <v:fill on="f" focussize="0,0"/>
                <v:stroke weight="1.25pt" color="#000000" joinstyle="round"/>
                <v:imagedata o:title=""/>
                <o:lock v:ext="edit" aspectratio="f"/>
              </v:line>
            </w:pict>
          </mc:Fallback>
        </mc:AlternateContent>
      </w:r>
    </w:p>
    <w:p w14:paraId="77C8BB8F">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3523D6A"/>
    <w:rsid w:val="04CD463F"/>
    <w:rsid w:val="04FA4431"/>
    <w:rsid w:val="06BAE61F"/>
    <w:rsid w:val="071C7669"/>
    <w:rsid w:val="0776795A"/>
    <w:rsid w:val="08365B64"/>
    <w:rsid w:val="0B22091D"/>
    <w:rsid w:val="0CF71776"/>
    <w:rsid w:val="103E22C5"/>
    <w:rsid w:val="1350279A"/>
    <w:rsid w:val="14203063"/>
    <w:rsid w:val="14330BA5"/>
    <w:rsid w:val="143E1E38"/>
    <w:rsid w:val="14FC3FF0"/>
    <w:rsid w:val="152E563E"/>
    <w:rsid w:val="15B93156"/>
    <w:rsid w:val="18325353"/>
    <w:rsid w:val="18B229B2"/>
    <w:rsid w:val="19FE4517"/>
    <w:rsid w:val="1AE345F4"/>
    <w:rsid w:val="1C9C2B08"/>
    <w:rsid w:val="1DA4420A"/>
    <w:rsid w:val="1F2B5D07"/>
    <w:rsid w:val="1FD31F15"/>
    <w:rsid w:val="236534A4"/>
    <w:rsid w:val="244E1F2B"/>
    <w:rsid w:val="24626694"/>
    <w:rsid w:val="25056E93"/>
    <w:rsid w:val="258D6CE0"/>
    <w:rsid w:val="2B1B3EFC"/>
    <w:rsid w:val="2CEA3815"/>
    <w:rsid w:val="2DE10173"/>
    <w:rsid w:val="2F327E79"/>
    <w:rsid w:val="2F7CE1EF"/>
    <w:rsid w:val="306D5BCA"/>
    <w:rsid w:val="30DB5683"/>
    <w:rsid w:val="342602B0"/>
    <w:rsid w:val="34CA77B0"/>
    <w:rsid w:val="3585615B"/>
    <w:rsid w:val="368E5656"/>
    <w:rsid w:val="377FBB27"/>
    <w:rsid w:val="37F16547"/>
    <w:rsid w:val="38B63DA7"/>
    <w:rsid w:val="3930619F"/>
    <w:rsid w:val="3A4E178D"/>
    <w:rsid w:val="3BF97ECA"/>
    <w:rsid w:val="3C2965F0"/>
    <w:rsid w:val="3D5F5B26"/>
    <w:rsid w:val="3F2604DF"/>
    <w:rsid w:val="3F6783E4"/>
    <w:rsid w:val="3FFF82D4"/>
    <w:rsid w:val="402E7C06"/>
    <w:rsid w:val="40FE5F8F"/>
    <w:rsid w:val="425049CE"/>
    <w:rsid w:val="42EC3109"/>
    <w:rsid w:val="4659781C"/>
    <w:rsid w:val="48C10000"/>
    <w:rsid w:val="4A256B30"/>
    <w:rsid w:val="4B8F0B22"/>
    <w:rsid w:val="4BD32FF0"/>
    <w:rsid w:val="4C02380F"/>
    <w:rsid w:val="4CC8271B"/>
    <w:rsid w:val="4D9306AE"/>
    <w:rsid w:val="4E7E71EB"/>
    <w:rsid w:val="4E8950D9"/>
    <w:rsid w:val="4F0457DF"/>
    <w:rsid w:val="51D242A6"/>
    <w:rsid w:val="544F552D"/>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AC412B9"/>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607FC"/>
    <w:rsid w:val="7BFD6076"/>
    <w:rsid w:val="7C8E43D6"/>
    <w:rsid w:val="7DA536A5"/>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2884</Words>
  <Characters>3057</Characters>
  <Lines>0</Lines>
  <Paragraphs>0</Paragraphs>
  <TotalTime>5</TotalTime>
  <ScaleCrop>false</ScaleCrop>
  <LinksUpToDate>false</LinksUpToDate>
  <CharactersWithSpaces>3392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01sj</cp:lastModifiedBy>
  <dcterms:modified xsi:type="dcterms:W3CDTF">2026-03-31T09:34:46Z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72D5E5598B14D21ED719CB69B6DD066E_43</vt:lpwstr>
  </property>
  <property fmtid="{D5CDD505-2E9C-101B-9397-08002B2CF9AE}" pid="4" name="KSOTemplateDocerSaveRecord">
    <vt:lpwstr>eyJoZGlkIjoiMDM5ODBmOTY1MDIwMjc4YjRlZWY0MWU1ZDJjMGQ0MGQiLCJ1c2VySWQiOiI1MzY4Mzk2MTQifQ==</vt:lpwstr>
  </property>
</Properties>
</file>