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3CD8C">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14:paraId="7D26337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14:paraId="7EA39DC5">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薛市监处罚〔2026〕26号</w:t>
      </w:r>
      <w:bookmarkEnd w:id="2"/>
    </w:p>
    <w:p w14:paraId="01D329AB">
      <w:pPr>
        <w:keepNext w:val="0"/>
        <w:keepLines w:val="0"/>
        <w:pageBreakBefore w:val="0"/>
        <w:kinsoku/>
        <w:overflowPunct/>
        <w:topLinePunct w:val="0"/>
        <w:bidi w:val="0"/>
        <w:spacing w:before="315" w:beforeLines="100" w:line="480" w:lineRule="exact"/>
        <w:ind w:left="142" w:hanging="142"/>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kern w:val="1"/>
          <w:sz w:val="32"/>
          <w:szCs w:val="32"/>
        </w:rPr>
        <w:t>当事人：</w:t>
      </w:r>
      <w:bookmarkStart w:id="3" w:name="CALCULATE—DSR—tAjDsrs_cMc"/>
      <w:r>
        <w:rPr>
          <w:rFonts w:hint="eastAsia" w:ascii="仿宋" w:hAnsi="仿宋" w:eastAsia="仿宋" w:cs="仿宋"/>
          <w:b w:val="0"/>
          <w:color w:val="auto"/>
          <w:sz w:val="32"/>
          <w:szCs w:val="32"/>
          <w:u w:val="single"/>
        </w:rPr>
        <w:t>薛城区刘云华驴肉狗肉馆</w:t>
      </w:r>
      <w:bookmarkEnd w:id="3"/>
      <w:r>
        <w:rPr>
          <w:rFonts w:hint="eastAsia" w:ascii="仿宋" w:hAnsi="仿宋" w:eastAsia="仿宋" w:cs="仿宋"/>
          <w:b w:val="0"/>
          <w:bCs/>
          <w:color w:val="auto"/>
          <w:kern w:val="1"/>
          <w:sz w:val="32"/>
          <w:szCs w:val="32"/>
          <w:u w:val="single"/>
        </w:rPr>
        <w:t xml:space="preserve">                                            </w:t>
      </w:r>
    </w:p>
    <w:p w14:paraId="3CFD1A68">
      <w:pPr>
        <w:keepNext w:val="0"/>
        <w:keepLines w:val="0"/>
        <w:pageBreakBefore w:val="0"/>
        <w:kinsoku/>
        <w:overflowPunct/>
        <w:topLinePunct w:val="0"/>
        <w:bidi w:val="0"/>
        <w:spacing w:line="480" w:lineRule="exact"/>
        <w:ind w:left="140" w:hanging="140"/>
        <w:rPr>
          <w:rFonts w:hint="eastAsia" w:ascii="仿宋" w:hAnsi="仿宋" w:eastAsia="仿宋" w:cs="仿宋"/>
          <w:b w:val="0"/>
          <w:bCs/>
          <w:color w:val="auto"/>
          <w:kern w:val="1"/>
          <w:sz w:val="32"/>
          <w:szCs w:val="32"/>
          <w:u w:val="single"/>
        </w:rPr>
      </w:pPr>
      <w:r>
        <w:rPr>
          <w:rFonts w:hint="eastAsia" w:ascii="仿宋" w:hAnsi="仿宋" w:eastAsia="仿宋" w:cs="仿宋"/>
          <w:b w:val="0"/>
          <w:bCs/>
          <w:color w:val="auto"/>
          <w:kern w:val="1"/>
          <w:sz w:val="32"/>
          <w:szCs w:val="32"/>
        </w:rPr>
        <w:t>主体资格证照名称：</w:t>
      </w:r>
      <w:bookmarkStart w:id="4" w:name="CALCULATE—DSR—tAjDsrs_cZtzgzzmc"/>
      <w:r>
        <w:rPr>
          <w:rFonts w:hint="eastAsia" w:ascii="仿宋" w:hAnsi="仿宋" w:eastAsia="仿宋" w:cs="仿宋"/>
          <w:b w:val="0"/>
          <w:color w:val="auto"/>
          <w:sz w:val="32"/>
          <w:szCs w:val="32"/>
          <w:u w:val="single"/>
        </w:rPr>
        <w:t>工商营业执照</w:t>
      </w:r>
      <w:bookmarkEnd w:id="4"/>
      <w:r>
        <w:rPr>
          <w:rFonts w:hint="eastAsia" w:ascii="仿宋" w:hAnsi="仿宋" w:eastAsia="仿宋" w:cs="仿宋"/>
          <w:b w:val="0"/>
          <w:bCs/>
          <w:color w:val="auto"/>
          <w:kern w:val="1"/>
          <w:sz w:val="32"/>
          <w:szCs w:val="32"/>
          <w:u w:val="single"/>
        </w:rPr>
        <w:t xml:space="preserve">                                  </w:t>
      </w:r>
    </w:p>
    <w:p w14:paraId="6112D816">
      <w:pPr>
        <w:keepNext w:val="0"/>
        <w:keepLines w:val="0"/>
        <w:pageBreakBefore w:val="0"/>
        <w:kinsoku/>
        <w:overflowPunct/>
        <w:topLinePunct w:val="0"/>
        <w:bidi w:val="0"/>
        <w:spacing w:line="480" w:lineRule="exact"/>
        <w:ind w:left="140" w:hanging="140"/>
        <w:rPr>
          <w:rFonts w:hint="eastAsia" w:ascii="仿宋" w:hAnsi="仿宋" w:eastAsia="仿宋" w:cs="仿宋"/>
          <w:b w:val="0"/>
          <w:bCs/>
          <w:color w:val="auto"/>
          <w:kern w:val="1"/>
          <w:sz w:val="32"/>
          <w:szCs w:val="32"/>
          <w:u w:val="single"/>
          <w:lang w:val="en-US" w:eastAsia="zh-CN"/>
        </w:rPr>
      </w:pPr>
      <w:r>
        <w:rPr>
          <w:rFonts w:hint="eastAsia" w:ascii="仿宋" w:hAnsi="仿宋" w:eastAsia="仿宋" w:cs="仿宋"/>
          <w:b w:val="0"/>
          <w:bCs/>
          <w:color w:val="auto"/>
          <w:kern w:val="1"/>
          <w:sz w:val="32"/>
          <w:szCs w:val="32"/>
        </w:rPr>
        <w:t>统一社会信用代码：</w:t>
      </w:r>
      <w:bookmarkStart w:id="5" w:name="CALCULATE—DSR—tAjDsrs_cTzshxydm"/>
      <w:r>
        <w:rPr>
          <w:rFonts w:hint="eastAsia" w:ascii="仿宋" w:hAnsi="仿宋" w:eastAsia="仿宋" w:cs="仿宋"/>
          <w:b w:val="0"/>
          <w:color w:val="auto"/>
          <w:sz w:val="32"/>
          <w:szCs w:val="32"/>
          <w:u w:val="single"/>
        </w:rPr>
        <w:t>92370403MA3KX78X0N</w:t>
      </w:r>
      <w:bookmarkEnd w:id="5"/>
      <w:r>
        <w:rPr>
          <w:rFonts w:hint="eastAsia" w:ascii="仿宋" w:hAnsi="仿宋" w:eastAsia="仿宋" w:cs="仿宋"/>
          <w:b w:val="0"/>
          <w:bCs/>
          <w:color w:val="auto"/>
          <w:kern w:val="1"/>
          <w:sz w:val="32"/>
          <w:szCs w:val="32"/>
          <w:u w:val="single"/>
        </w:rPr>
        <w:t xml:space="preserve">                                  </w:t>
      </w:r>
    </w:p>
    <w:p w14:paraId="7EDC33E1">
      <w:pPr>
        <w:keepNext w:val="0"/>
        <w:keepLines w:val="0"/>
        <w:pageBreakBefore w:val="0"/>
        <w:kinsoku/>
        <w:overflowPunct/>
        <w:topLinePunct w:val="0"/>
        <w:bidi w:val="0"/>
        <w:spacing w:line="480" w:lineRule="exact"/>
        <w:ind w:left="140" w:hanging="140"/>
        <w:rPr>
          <w:rFonts w:hint="eastAsia" w:ascii="仿宋" w:hAnsi="仿宋" w:eastAsia="仿宋" w:cs="仿宋"/>
          <w:b w:val="0"/>
          <w:bCs/>
          <w:color w:val="auto"/>
          <w:kern w:val="1"/>
          <w:sz w:val="32"/>
          <w:szCs w:val="32"/>
          <w:lang w:val="en-US" w:eastAsia="zh-CN"/>
        </w:rPr>
      </w:pPr>
      <w:r>
        <w:rPr>
          <w:rFonts w:hint="eastAsia" w:ascii="仿宋" w:hAnsi="仿宋" w:eastAsia="仿宋" w:cs="仿宋"/>
          <w:b w:val="0"/>
          <w:bCs/>
          <w:color w:val="auto"/>
          <w:kern w:val="1"/>
          <w:sz w:val="32"/>
          <w:szCs w:val="32"/>
        </w:rPr>
        <w:t>住所（住址）：</w:t>
      </w:r>
      <w:bookmarkStart w:id="6" w:name="CALCULATE—DSR—tAjDsrs_cLxdzSheng"/>
      <w:r>
        <w:rPr>
          <w:rFonts w:hint="eastAsia" w:ascii="仿宋" w:hAnsi="仿宋" w:eastAsia="仿宋" w:cs="仿宋"/>
          <w:b w:val="0"/>
          <w:color w:val="auto"/>
          <w:sz w:val="32"/>
          <w:szCs w:val="32"/>
          <w:u w:val="single"/>
        </w:rPr>
        <w:t>山东省枣庄市薛城区匡泉巷广电局宿舍从西向东数第11、12间</w:t>
      </w:r>
      <w:bookmarkEnd w:id="6"/>
      <w:r>
        <w:rPr>
          <w:rFonts w:hint="eastAsia" w:ascii="仿宋" w:hAnsi="仿宋" w:eastAsia="仿宋" w:cs="仿宋"/>
          <w:b w:val="0"/>
          <w:bCs/>
          <w:color w:val="auto"/>
          <w:kern w:val="1"/>
          <w:sz w:val="32"/>
          <w:szCs w:val="32"/>
          <w:u w:val="single"/>
        </w:rPr>
        <w:t xml:space="preserve">                                      </w:t>
      </w:r>
      <w:r>
        <w:rPr>
          <w:rFonts w:hint="eastAsia" w:ascii="仿宋" w:hAnsi="仿宋" w:eastAsia="仿宋" w:cs="仿宋"/>
          <w:b w:val="0"/>
          <w:bCs/>
          <w:color w:val="auto"/>
          <w:kern w:val="1"/>
          <w:sz w:val="32"/>
          <w:szCs w:val="32"/>
          <w:u w:val="single"/>
          <w:lang w:val="en-US" w:eastAsia="zh-CN"/>
        </w:rPr>
        <w:t xml:space="preserve"> </w:t>
      </w:r>
    </w:p>
    <w:p w14:paraId="71908357">
      <w:pPr>
        <w:keepNext w:val="0"/>
        <w:keepLines w:val="0"/>
        <w:pageBreakBefore w:val="0"/>
        <w:widowControl/>
        <w:kinsoku/>
        <w:wordWrap/>
        <w:overflowPunct/>
        <w:topLinePunct w:val="0"/>
        <w:autoSpaceDE w:val="0"/>
        <w:autoSpaceDN w:val="0"/>
        <w:bidi w:val="0"/>
        <w:adjustRightInd/>
        <w:snapToGrid/>
        <w:spacing w:line="480" w:lineRule="exact"/>
        <w:ind w:left="0" w:leftChars="0" w:firstLine="640" w:firstLineChars="200"/>
        <w:jc w:val="both"/>
        <w:textAlignment w:val="auto"/>
        <w:rPr>
          <w:rFonts w:hint="eastAsia" w:ascii="仿宋" w:hAnsi="仿宋" w:eastAsia="仿宋" w:cs="仿宋"/>
          <w:color w:val="auto"/>
          <w:spacing w:val="0"/>
          <w:w w:val="100"/>
          <w:sz w:val="32"/>
          <w:szCs w:val="32"/>
          <w:u w:val="none" w:color="auto"/>
          <w:lang w:val="en-US" w:eastAsia="zh-CN"/>
        </w:rPr>
      </w:pPr>
      <w:bookmarkStart w:id="9" w:name="_GoBack"/>
      <w:bookmarkEnd w:id="9"/>
      <w:r>
        <w:rPr>
          <w:rFonts w:hint="eastAsia" w:ascii="仿宋" w:hAnsi="仿宋" w:eastAsia="仿宋" w:cs="仿宋"/>
          <w:color w:val="auto"/>
          <w:spacing w:val="0"/>
          <w:w w:val="100"/>
          <w:sz w:val="32"/>
          <w:szCs w:val="32"/>
          <w:u w:val="none" w:color="auto"/>
          <w:lang w:val="en-US" w:eastAsia="zh-CN"/>
        </w:rPr>
        <w:t>本案由枣庄市公安局薛城分局以刘云华涉嫌销售不符合安全标准的食品罪，移送薛城区人民检察院审查起诉。检察院第一检察部认为本案证据不足，现有证据能够证明刘云华实施了在食品生产过程中，违反食品安全标准，超限量滥用食品添加剂的行为，但证明其行为达到法律规定的足以造成严重食物中毒事故或者其他严重食源性疾病的标准事实不清、证据不足，不符合起诉条件。依照《中华人民共和国刑事诉讼法》第一百七十五条第四款的规定，决定对刘云华不起诉。此案中，刘云华在卤制狗肉等制品过程中，过量添加食品添加剂亚硝酸盐，亚硝酸盐检测值150mg/kg(标准≤30mg/kg)，并向外销售，从中牟利。应当依法追究行政责任。于2025年10月21日向我局制发《检察意见书》（薛检刑行意〔2025〕63号），要求我局根据《中华人民共和国食品安全法》第一百二十四条的规定，给予刘云华相应的行政处罚。</w:t>
      </w:r>
    </w:p>
    <w:p w14:paraId="662EDF1B">
      <w:pPr>
        <w:keepNext w:val="0"/>
        <w:keepLines w:val="0"/>
        <w:pageBreakBefore w:val="0"/>
        <w:widowControl/>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color w:val="auto"/>
          <w:spacing w:val="0"/>
          <w:w w:val="100"/>
          <w:sz w:val="32"/>
          <w:szCs w:val="32"/>
          <w:u w:val="none" w:color="auto"/>
          <w:lang w:val="en-US" w:eastAsia="zh-CN"/>
        </w:rPr>
      </w:pPr>
      <w:r>
        <w:rPr>
          <w:rFonts w:hint="eastAsia" w:ascii="仿宋" w:hAnsi="仿宋" w:eastAsia="仿宋" w:cs="仿宋"/>
          <w:color w:val="auto"/>
          <w:spacing w:val="0"/>
          <w:w w:val="100"/>
          <w:sz w:val="32"/>
          <w:szCs w:val="32"/>
          <w:u w:val="none" w:color="auto"/>
          <w:lang w:val="en-US" w:eastAsia="zh-CN"/>
        </w:rPr>
        <w:t>经初步审查，</w:t>
      </w:r>
      <w:r>
        <w:rPr>
          <w:rFonts w:hint="eastAsia" w:ascii="仿宋" w:hAnsi="仿宋" w:eastAsia="仿宋" w:cs="仿宋"/>
          <w:bCs/>
          <w:color w:val="auto"/>
          <w:sz w:val="32"/>
          <w:szCs w:val="32"/>
          <w:lang w:val="en-US" w:eastAsia="zh-CN"/>
        </w:rPr>
        <w:t>当事人为餐饮服务单位，</w:t>
      </w:r>
      <w:r>
        <w:rPr>
          <w:rFonts w:hint="eastAsia" w:ascii="仿宋" w:hAnsi="仿宋" w:eastAsia="仿宋" w:cs="仿宋"/>
          <w:color w:val="auto"/>
          <w:sz w:val="32"/>
          <w:szCs w:val="32"/>
          <w:u w:val="none" w:color="auto"/>
          <w:lang w:val="en-US" w:eastAsia="zh-CN"/>
        </w:rPr>
        <w:t>生产经营的狗肉检出亚硝酸盐，违反了《关于禁止餐饮服务单位采购、贮存、使用食品添加剂亚硝酸盐的公告》（2012年第10号）的规定，并且不符合《食品安全国家标准 餐饮服务通用卫生规范》（GB31654-2021）第6.5.2“餐饮服务单位一律不应采购、贮存及使用食品添加剂亚硝酸盐等国家禁止在餐饮业使用的品种”的要求</w:t>
      </w:r>
      <w:r>
        <w:rPr>
          <w:rFonts w:hint="eastAsia" w:ascii="仿宋" w:hAnsi="仿宋" w:eastAsia="仿宋" w:cs="仿宋"/>
          <w:color w:val="auto"/>
          <w:spacing w:val="0"/>
          <w:w w:val="100"/>
          <w:sz w:val="32"/>
          <w:szCs w:val="32"/>
          <w:u w:val="none" w:color="auto"/>
          <w:lang w:val="en-US" w:eastAsia="zh-CN"/>
        </w:rPr>
        <w:t>。当事人的行为涉嫌违反了《中华人民共和国食品安全法》第三十四条第（四）项的规定，我局于2025年12月8日立案调查，于2025年12月24日依法对当事人进行询问调查，当事人对检察机关移送材料予以认可。本案未采取行政强制措施。</w:t>
      </w:r>
    </w:p>
    <w:p w14:paraId="3A0E6B5C">
      <w:pPr>
        <w:keepNext w:val="0"/>
        <w:keepLines w:val="0"/>
        <w:pageBreakBefore w:val="0"/>
        <w:widowControl/>
        <w:kinsoku/>
        <w:wordWrap/>
        <w:overflowPunct/>
        <w:topLinePunct w:val="0"/>
        <w:autoSpaceDE w:val="0"/>
        <w:autoSpaceDN w:val="0"/>
        <w:bidi w:val="0"/>
        <w:adjustRightInd/>
        <w:snapToGrid/>
        <w:spacing w:line="480" w:lineRule="exact"/>
        <w:ind w:left="0" w:leftChars="0" w:firstLine="640" w:firstLineChars="200"/>
        <w:jc w:val="both"/>
        <w:textAlignment w:val="auto"/>
        <w:rPr>
          <w:rFonts w:hint="eastAsia" w:ascii="仿宋" w:hAnsi="仿宋" w:eastAsia="仿宋" w:cs="仿宋"/>
          <w:color w:val="auto"/>
          <w:sz w:val="32"/>
          <w:szCs w:val="32"/>
          <w:u w:val="none" w:color="auto"/>
          <w:lang w:val="en-US" w:eastAsia="zh-CN"/>
        </w:rPr>
      </w:pPr>
      <w:r>
        <w:rPr>
          <w:rFonts w:hint="eastAsia" w:ascii="仿宋" w:hAnsi="仿宋" w:eastAsia="仿宋" w:cs="仿宋"/>
          <w:color w:val="auto"/>
          <w:spacing w:val="0"/>
          <w:w w:val="100"/>
          <w:sz w:val="32"/>
          <w:szCs w:val="32"/>
          <w:u w:val="none" w:color="auto"/>
          <w:lang w:val="en-US" w:eastAsia="zh-CN"/>
        </w:rPr>
        <w:t>当事人卤制的狗肉，于2024年1月山东省公安厅食品药品与环境犯罪侦查总队委托青岛市华测检测技术有限公司抽检检验，检验检测报告（报告编号：A2230669671105001Ca）显示，亚硝酸钠含量为160mg/kg，检验结论：经检验，该产品亚硝酸盐（以亚硝酸钠计）项目不符合GB 2760-2014《食品安全国家标准 食品添加剂使用标准》的规定要求；检验检测报告（报告编号：A2230669671105001Cb）显示，氰化物含量0.251mg/kg。2024年11月，枣庄市公安局薛城分局食药环森大队再次抽检检验，检测结果显示,亚硝酸钠含量为150mg/k</w:t>
      </w:r>
      <w:r>
        <w:rPr>
          <w:rFonts w:hint="eastAsia" w:ascii="仿宋" w:hAnsi="仿宋" w:eastAsia="仿宋" w:cs="仿宋"/>
          <w:color w:val="auto"/>
          <w:sz w:val="32"/>
          <w:szCs w:val="32"/>
          <w:u w:val="none" w:color="auto"/>
          <w:lang w:val="en-US" w:eastAsia="zh-CN"/>
        </w:rPr>
        <w:t>g、氰化物含量为0.516mg/kg。当事人对经营的狗肉制品</w:t>
      </w:r>
      <w:r>
        <w:rPr>
          <w:rFonts w:hint="eastAsia" w:ascii="仿宋" w:hAnsi="仿宋" w:eastAsia="仿宋" w:cs="仿宋"/>
          <w:color w:val="auto"/>
          <w:spacing w:val="0"/>
          <w:w w:val="100"/>
          <w:sz w:val="32"/>
          <w:szCs w:val="32"/>
          <w:u w:val="none" w:color="auto"/>
          <w:lang w:val="en-US" w:eastAsia="zh-CN"/>
        </w:rPr>
        <w:t>检验不合格</w:t>
      </w:r>
      <w:r>
        <w:rPr>
          <w:rFonts w:hint="eastAsia" w:ascii="仿宋" w:hAnsi="仿宋" w:eastAsia="仿宋" w:cs="仿宋"/>
          <w:color w:val="auto"/>
          <w:sz w:val="32"/>
          <w:szCs w:val="32"/>
          <w:u w:val="none" w:color="auto"/>
          <w:lang w:val="en-US" w:eastAsia="zh-CN"/>
        </w:rPr>
        <w:t>无异议。</w:t>
      </w:r>
    </w:p>
    <w:p w14:paraId="4B5ED4ED">
      <w:pPr>
        <w:keepNext w:val="0"/>
        <w:keepLines w:val="0"/>
        <w:pageBreakBefore w:val="0"/>
        <w:widowControl/>
        <w:kinsoku/>
        <w:wordWrap/>
        <w:overflowPunct/>
        <w:topLinePunct w:val="0"/>
        <w:autoSpaceDE w:val="0"/>
        <w:autoSpaceDN w:val="0"/>
        <w:bidi w:val="0"/>
        <w:adjustRightInd/>
        <w:snapToGrid/>
        <w:spacing w:line="480" w:lineRule="exact"/>
        <w:ind w:left="0" w:leftChars="0" w:firstLine="640" w:firstLineChars="200"/>
        <w:jc w:val="both"/>
        <w:textAlignment w:val="auto"/>
        <w:rPr>
          <w:rFonts w:hint="eastAsia" w:ascii="仿宋" w:hAnsi="仿宋" w:eastAsia="仿宋" w:cs="仿宋"/>
          <w:color w:val="auto"/>
          <w:sz w:val="32"/>
          <w:szCs w:val="32"/>
          <w:u w:val="none" w:color="auto"/>
          <w:lang w:val="en-US" w:eastAsia="zh-CN"/>
        </w:rPr>
      </w:pPr>
      <w:r>
        <w:rPr>
          <w:rFonts w:hint="eastAsia" w:ascii="仿宋" w:hAnsi="仿宋" w:eastAsia="仿宋" w:cs="仿宋"/>
          <w:color w:val="auto"/>
          <w:spacing w:val="0"/>
          <w:w w:val="100"/>
          <w:sz w:val="32"/>
          <w:szCs w:val="32"/>
          <w:u w:val="none" w:color="auto"/>
          <w:lang w:val="en-US" w:eastAsia="zh-CN"/>
        </w:rPr>
        <w:t>经查，经营者杨位兰及其丈夫刘云华于1999年起，共同从事驴肉和狗肉的加工销售活动，操作以刘云华为主，杨位兰主要负责销售。为改善肉品颜色和风味，长期在老汤底中添加亚销酸钠。添加量主要凭个人经验，按照每煮十来回汤底添加一勺的用法用量添加。亚硝酸钠购买于北批市场一家食品添加剂专营店。</w:t>
      </w:r>
      <w:r>
        <w:rPr>
          <w:rFonts w:hint="eastAsia" w:ascii="仿宋" w:hAnsi="仿宋" w:eastAsia="仿宋" w:cs="仿宋"/>
          <w:color w:val="auto"/>
          <w:sz w:val="32"/>
          <w:szCs w:val="32"/>
          <w:u w:val="none" w:color="auto"/>
          <w:lang w:val="en-US" w:eastAsia="zh-CN"/>
        </w:rPr>
        <w:t>当事人对亚硝酸钠超标事实无异议。</w:t>
      </w:r>
    </w:p>
    <w:p w14:paraId="15125B7D">
      <w:pPr>
        <w:keepNext w:val="0"/>
        <w:keepLines w:val="0"/>
        <w:pageBreakBefore w:val="0"/>
        <w:widowControl/>
        <w:kinsoku/>
        <w:wordWrap/>
        <w:overflowPunct/>
        <w:topLinePunct w:val="0"/>
        <w:autoSpaceDE w:val="0"/>
        <w:autoSpaceDN w:val="0"/>
        <w:bidi w:val="0"/>
        <w:adjustRightInd/>
        <w:snapToGrid/>
        <w:spacing w:line="480" w:lineRule="exact"/>
        <w:ind w:left="0" w:leftChars="0" w:firstLine="640" w:firstLineChars="200"/>
        <w:jc w:val="both"/>
        <w:textAlignment w:val="auto"/>
        <w:rPr>
          <w:rFonts w:hint="eastAsia" w:ascii="仿宋" w:hAnsi="仿宋" w:eastAsia="仿宋" w:cs="仿宋"/>
          <w:color w:val="auto"/>
          <w:spacing w:val="0"/>
          <w:w w:val="100"/>
          <w:sz w:val="32"/>
          <w:szCs w:val="32"/>
          <w:u w:val="none" w:color="auto"/>
          <w:lang w:val="en-US" w:eastAsia="zh-CN"/>
        </w:rPr>
      </w:pPr>
      <w:r>
        <w:rPr>
          <w:rFonts w:hint="eastAsia" w:ascii="仿宋" w:hAnsi="仿宋" w:eastAsia="仿宋" w:cs="仿宋"/>
          <w:color w:val="auto"/>
          <w:sz w:val="32"/>
          <w:szCs w:val="32"/>
          <w:lang w:val="en-US" w:eastAsia="zh-CN"/>
        </w:rPr>
        <w:t>枣庄市公安局薛城区分局永福派出所关于对从刘云华处扣押的狗肉检出氰化氢的问题，出具的《办案说明》，指出当事人</w:t>
      </w:r>
      <w:r>
        <w:rPr>
          <w:rFonts w:hint="eastAsia" w:ascii="仿宋" w:hAnsi="仿宋" w:eastAsia="仿宋" w:cs="仿宋"/>
          <w:color w:val="auto"/>
          <w:sz w:val="32"/>
          <w:szCs w:val="32"/>
          <w:u w:val="none" w:color="auto"/>
          <w:lang w:val="en-US" w:eastAsia="zh-CN"/>
        </w:rPr>
        <w:t>否认向狗肉中加入氰化物，亦未收购死狗、病狗等，永福派出所办案人员通过采取询问当事人、询问证人、现场勘验检查等调查措施，也未能调查出当事人生产、销售的狗肉中含有氰化物的原因。且公安局委托检验检测方法是参考GB 5009.36第一法，该标准为《食品安全国家标准 食品中氰化物的测定》，该标准规定了食品中氰化物的测定方法，第一法分光光度法，适用于蒸馏酒及其配制酒、食用酒精、木薯粉、包装饮用水和矿泉水中氰化物的测定。且参考GB 2757 2012《食品安全国家标准 蒸馏酒及其配制酒》理化指标：</w:t>
      </w:r>
      <w:r>
        <w:rPr>
          <w:rFonts w:hint="eastAsia" w:ascii="仿宋" w:hAnsi="仿宋" w:eastAsia="仿宋" w:cs="仿宋"/>
          <w:color w:val="auto"/>
          <w:spacing w:val="0"/>
          <w:w w:val="100"/>
          <w:sz w:val="32"/>
          <w:szCs w:val="32"/>
          <w:u w:val="none" w:color="auto"/>
          <w:lang w:val="en-US" w:eastAsia="zh-CN"/>
        </w:rPr>
        <w:t>氰化物 （以 HCN 计）/(mg/L） ≤ 8.0</w:t>
      </w:r>
      <w:r>
        <w:rPr>
          <w:rFonts w:hint="eastAsia" w:ascii="仿宋" w:hAnsi="仿宋" w:eastAsia="仿宋" w:cs="仿宋"/>
          <w:color w:val="auto"/>
          <w:sz w:val="32"/>
          <w:szCs w:val="32"/>
          <w:u w:val="none" w:color="auto"/>
          <w:lang w:val="en-US" w:eastAsia="zh-CN"/>
        </w:rPr>
        <w:t xml:space="preserve"> 。检测值低于此限值。因此根据现有证据无法认定当事人违反了《食品安全法》第三十四条第一款第（一）项“第三十四条 禁止生产经营下列食品、食品添加剂、食品相关产品： （一）用非食品原料生产的食品或者添加食品添加剂以外的化学物质和其他可能危害人体健康物质的食品，或者用回收食品作为原料生产的食品；”的规定。</w:t>
      </w:r>
    </w:p>
    <w:p w14:paraId="43D6452B">
      <w:pPr>
        <w:keepNext w:val="0"/>
        <w:keepLines w:val="0"/>
        <w:pageBreakBefore w:val="0"/>
        <w:widowControl/>
        <w:kinsoku/>
        <w:wordWrap w:val="0"/>
        <w:overflowPunct/>
        <w:topLinePunct w:val="0"/>
        <w:autoSpaceDE w:val="0"/>
        <w:autoSpaceDN w:val="0"/>
        <w:bidi w:val="0"/>
        <w:adjustRightInd/>
        <w:snapToGrid/>
        <w:spacing w:line="480" w:lineRule="exact"/>
        <w:ind w:firstLine="640" w:firstLineChars="200"/>
        <w:jc w:val="both"/>
        <w:textAlignment w:val="auto"/>
        <w:rPr>
          <w:rFonts w:hint="eastAsia" w:ascii="仿宋" w:hAnsi="仿宋" w:eastAsia="仿宋" w:cs="仿宋"/>
          <w:color w:val="auto"/>
          <w:spacing w:val="0"/>
          <w:w w:val="100"/>
          <w:sz w:val="32"/>
          <w:szCs w:val="32"/>
          <w:u w:val="none" w:color="auto"/>
          <w:lang w:val="en-US" w:eastAsia="zh-CN"/>
        </w:rPr>
      </w:pPr>
      <w:r>
        <w:rPr>
          <w:rFonts w:hint="eastAsia" w:ascii="仿宋" w:hAnsi="仿宋" w:eastAsia="仿宋" w:cs="仿宋"/>
          <w:color w:val="221E1F"/>
          <w:spacing w:val="0"/>
          <w:w w:val="100"/>
          <w:sz w:val="32"/>
          <w:szCs w:val="32"/>
          <w:u w:val="none"/>
          <w:lang w:val="en-US" w:eastAsia="zh-CN"/>
        </w:rPr>
        <w:t>现已查明，</w:t>
      </w:r>
      <w:r>
        <w:rPr>
          <w:rFonts w:hint="eastAsia" w:ascii="仿宋" w:hAnsi="仿宋" w:eastAsia="仿宋" w:cs="仿宋"/>
          <w:color w:val="auto"/>
          <w:sz w:val="32"/>
          <w:szCs w:val="32"/>
          <w:u w:val="none" w:color="auto"/>
          <w:lang w:val="en-US" w:eastAsia="zh-CN"/>
        </w:rPr>
        <w:t>当事人生产</w:t>
      </w:r>
      <w:r>
        <w:rPr>
          <w:rFonts w:hint="eastAsia" w:ascii="仿宋" w:hAnsi="仿宋" w:eastAsia="仿宋" w:cs="仿宋"/>
          <w:color w:val="auto"/>
          <w:sz w:val="32"/>
          <w:szCs w:val="32"/>
          <w:lang w:eastAsia="zh-CN"/>
        </w:rPr>
        <w:t>经营超范围使用食品添加剂的狗肉</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u w:val="none" w:color="auto"/>
          <w:lang w:val="en-US" w:eastAsia="zh-CN"/>
        </w:rPr>
        <w:t>违法事实存在。当事人狗肉销售价格为每斤80元，当事人除了狗肉制品外，还有驴肉制品，故无法区分所售狗肉的具体数额，仅可确定抽样时，支付了157元。</w:t>
      </w:r>
    </w:p>
    <w:p w14:paraId="082DDD1F">
      <w:pPr>
        <w:keepNext w:val="0"/>
        <w:keepLines w:val="0"/>
        <w:pageBreakBefore w:val="0"/>
        <w:widowControl/>
        <w:suppressLineNumbers w:val="0"/>
        <w:kinsoku/>
        <w:overflowPunct/>
        <w:topLinePunct w:val="0"/>
        <w:bidi w:val="0"/>
        <w:snapToGrid/>
        <w:spacing w:line="480" w:lineRule="exact"/>
        <w:ind w:firstLine="640" w:firstLineChars="200"/>
        <w:jc w:val="both"/>
        <w:rPr>
          <w:rFonts w:hint="eastAsia" w:ascii="仿宋" w:hAnsi="仿宋" w:eastAsia="仿宋" w:cs="仿宋"/>
          <w:color w:val="auto"/>
          <w:sz w:val="32"/>
          <w:szCs w:val="32"/>
          <w:u w:val="none" w:color="auto"/>
          <w:lang w:val="en-US" w:eastAsia="zh-CN"/>
        </w:rPr>
      </w:pPr>
      <w:r>
        <w:rPr>
          <w:rFonts w:hint="eastAsia" w:ascii="仿宋" w:hAnsi="仿宋" w:eastAsia="仿宋" w:cs="仿宋"/>
          <w:color w:val="auto"/>
          <w:sz w:val="32"/>
          <w:szCs w:val="32"/>
          <w:u w:val="none" w:color="auto"/>
          <w:lang w:val="en-US" w:eastAsia="zh-CN"/>
        </w:rPr>
        <w:t>上述事实，主要有以下证据证明：</w:t>
      </w:r>
    </w:p>
    <w:p w14:paraId="48665F41">
      <w:pPr>
        <w:keepNext w:val="0"/>
        <w:keepLines w:val="0"/>
        <w:pageBreakBefore w:val="0"/>
        <w:widowControl/>
        <w:kinsoku/>
        <w:wordWrap w:val="0"/>
        <w:overflowPunct/>
        <w:topLinePunct w:val="0"/>
        <w:autoSpaceDE w:val="0"/>
        <w:autoSpaceDN w:val="0"/>
        <w:bidi w:val="0"/>
        <w:adjustRightInd/>
        <w:snapToGrid/>
        <w:spacing w:line="480" w:lineRule="exact"/>
        <w:ind w:firstLine="640" w:firstLineChars="200"/>
        <w:jc w:val="both"/>
        <w:textAlignment w:val="auto"/>
        <w:rPr>
          <w:rFonts w:hint="eastAsia" w:ascii="仿宋" w:hAnsi="仿宋" w:eastAsia="仿宋" w:cs="仿宋"/>
          <w:color w:val="auto"/>
          <w:sz w:val="32"/>
          <w:szCs w:val="32"/>
          <w:u w:val="none" w:color="auto"/>
          <w:lang w:val="en-US" w:eastAsia="zh-CN"/>
        </w:rPr>
      </w:pPr>
      <w:r>
        <w:rPr>
          <w:rFonts w:hint="eastAsia" w:ascii="仿宋" w:hAnsi="仿宋" w:eastAsia="仿宋" w:cs="仿宋"/>
          <w:color w:val="auto"/>
          <w:sz w:val="32"/>
          <w:szCs w:val="32"/>
          <w:u w:val="none" w:color="auto"/>
          <w:lang w:val="en-US" w:eastAsia="zh-CN"/>
        </w:rPr>
        <w:t>1、我局对当事人的询问笔录1份，证明当事人制作销售不符合食品安全标准的狗肉的违法事实存在；</w:t>
      </w:r>
    </w:p>
    <w:p w14:paraId="0CED1B37">
      <w:pPr>
        <w:keepNext w:val="0"/>
        <w:keepLines w:val="0"/>
        <w:pageBreakBefore w:val="0"/>
        <w:widowControl/>
        <w:kinsoku/>
        <w:wordWrap w:val="0"/>
        <w:overflowPunct/>
        <w:topLinePunct w:val="0"/>
        <w:autoSpaceDE w:val="0"/>
        <w:autoSpaceDN w:val="0"/>
        <w:bidi w:val="0"/>
        <w:adjustRightInd/>
        <w:snapToGrid/>
        <w:spacing w:line="480" w:lineRule="exact"/>
        <w:ind w:firstLine="640" w:firstLineChars="200"/>
        <w:jc w:val="both"/>
        <w:textAlignment w:val="auto"/>
        <w:rPr>
          <w:rFonts w:hint="eastAsia" w:ascii="仿宋" w:hAnsi="仿宋" w:eastAsia="仿宋" w:cs="仿宋"/>
          <w:color w:val="auto"/>
          <w:sz w:val="32"/>
          <w:szCs w:val="32"/>
          <w:u w:val="none" w:color="auto"/>
          <w:lang w:val="en-US" w:eastAsia="zh-CN"/>
        </w:rPr>
      </w:pPr>
      <w:r>
        <w:rPr>
          <w:rFonts w:hint="eastAsia" w:ascii="仿宋" w:hAnsi="仿宋" w:eastAsia="仿宋" w:cs="仿宋"/>
          <w:color w:val="auto"/>
          <w:sz w:val="32"/>
          <w:szCs w:val="32"/>
          <w:u w:val="none" w:color="auto"/>
          <w:lang w:val="en-US" w:eastAsia="zh-CN"/>
        </w:rPr>
        <w:t>2、枣庄市薛城区人民检察院检察意见书(薛检刑行意〔2025〕63号)1份，证明案件来源及对当事人经营不符合食品安全标准的狗肉的违法事实认定；</w:t>
      </w:r>
    </w:p>
    <w:p w14:paraId="7363FF53">
      <w:pPr>
        <w:keepNext w:val="0"/>
        <w:keepLines w:val="0"/>
        <w:pageBreakBefore w:val="0"/>
        <w:widowControl/>
        <w:kinsoku/>
        <w:wordWrap w:val="0"/>
        <w:overflowPunct/>
        <w:topLinePunct w:val="0"/>
        <w:autoSpaceDE w:val="0"/>
        <w:autoSpaceDN w:val="0"/>
        <w:bidi w:val="0"/>
        <w:adjustRightInd/>
        <w:snapToGrid/>
        <w:spacing w:line="480" w:lineRule="exact"/>
        <w:ind w:firstLine="640" w:firstLineChars="200"/>
        <w:jc w:val="both"/>
        <w:textAlignment w:val="auto"/>
        <w:rPr>
          <w:rFonts w:hint="eastAsia" w:ascii="仿宋" w:hAnsi="仿宋" w:eastAsia="仿宋" w:cs="仿宋"/>
          <w:color w:val="auto"/>
          <w:sz w:val="32"/>
          <w:szCs w:val="32"/>
          <w:u w:val="none" w:color="auto"/>
          <w:lang w:val="en-US" w:eastAsia="zh-CN"/>
        </w:rPr>
      </w:pPr>
      <w:r>
        <w:rPr>
          <w:rFonts w:hint="eastAsia" w:ascii="仿宋" w:hAnsi="仿宋" w:eastAsia="仿宋" w:cs="仿宋"/>
          <w:color w:val="auto"/>
          <w:sz w:val="32"/>
          <w:szCs w:val="32"/>
          <w:u w:val="none" w:color="auto"/>
          <w:lang w:val="en-US" w:eastAsia="zh-CN"/>
        </w:rPr>
        <w:t>3、检察意见书附件：公安机关移送的证据材料、检测报告等文书复印件，共84页；以及补充侦查决定书、补充侦查报告书、调取证据通知书、办案说明等文书，共10页。证明当事人经营超范围使用食品添加剂的狗肉违法事实存在。</w:t>
      </w:r>
    </w:p>
    <w:p w14:paraId="0BCBC67C">
      <w:pPr>
        <w:keepNext w:val="0"/>
        <w:keepLines w:val="0"/>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221E1F"/>
          <w:spacing w:val="0"/>
          <w:w w:val="100"/>
          <w:sz w:val="32"/>
          <w:szCs w:val="32"/>
          <w:u w:val="none"/>
          <w:lang w:val="en-US" w:eastAsia="zh-CN"/>
        </w:rPr>
      </w:pPr>
      <w:r>
        <w:rPr>
          <w:rFonts w:hint="eastAsia" w:ascii="仿宋" w:hAnsi="仿宋" w:eastAsia="仿宋" w:cs="仿宋"/>
          <w:color w:val="221E1F"/>
          <w:spacing w:val="0"/>
          <w:w w:val="100"/>
          <w:sz w:val="32"/>
          <w:szCs w:val="32"/>
          <w:u w:val="none"/>
          <w:lang w:val="en-US" w:eastAsia="zh-CN"/>
        </w:rPr>
        <w:t>我局执法人员于2026年3月23日向当事人送达了薛市监罚告〔2026〕574号《行政处罚告知》，由杨位兰签收，并告知当事人我局拟作出行政处罚的事实、理由、依据及处罚内容，当事人在规定时间内未提出陈述、申辩意见，也未要求听证。</w:t>
      </w:r>
    </w:p>
    <w:p w14:paraId="1F7348F9">
      <w:pPr>
        <w:keepNext w:val="0"/>
        <w:keepLines w:val="0"/>
        <w:pageBreakBefore w:val="0"/>
        <w:widowControl w:val="0"/>
        <w:kinsoku/>
        <w:wordWrap w:val="0"/>
        <w:overflowPunct/>
        <w:topLinePunct w:val="0"/>
        <w:autoSpaceDE/>
        <w:autoSpaceDN/>
        <w:bidi w:val="0"/>
        <w:adjustRightInd w:val="0"/>
        <w:snapToGrid/>
        <w:spacing w:line="480" w:lineRule="exact"/>
        <w:ind w:firstLine="640" w:firstLineChars="200"/>
        <w:jc w:val="both"/>
        <w:textAlignment w:val="baseline"/>
        <w:rPr>
          <w:rFonts w:hint="eastAsia" w:ascii="仿宋" w:hAnsi="仿宋" w:eastAsia="仿宋" w:cs="仿宋"/>
          <w:color w:val="auto"/>
          <w:spacing w:val="0"/>
          <w:w w:val="100"/>
          <w:sz w:val="32"/>
          <w:szCs w:val="32"/>
          <w:u w:val="none"/>
          <w:lang w:val="en-US" w:eastAsia="zh-CN"/>
        </w:rPr>
      </w:pPr>
      <w:r>
        <w:rPr>
          <w:rFonts w:hint="eastAsia" w:ascii="仿宋" w:hAnsi="仿宋" w:eastAsia="仿宋" w:cs="仿宋"/>
          <w:bCs/>
          <w:sz w:val="32"/>
          <w:szCs w:val="32"/>
          <w:lang w:val="en-US" w:eastAsia="zh-CN"/>
        </w:rPr>
        <w:t>本局认为，当事人</w:t>
      </w:r>
      <w:r>
        <w:rPr>
          <w:rFonts w:hint="eastAsia" w:ascii="仿宋" w:hAnsi="仿宋" w:eastAsia="仿宋" w:cs="仿宋"/>
          <w:color w:val="auto"/>
          <w:sz w:val="32"/>
          <w:szCs w:val="32"/>
          <w:u w:val="none" w:color="auto"/>
          <w:lang w:val="en-US" w:eastAsia="zh-CN"/>
        </w:rPr>
        <w:t>生产经营含有亚硝酸盐的狗肉，其行为</w:t>
      </w:r>
      <w:r>
        <w:rPr>
          <w:rFonts w:hint="eastAsia" w:ascii="仿宋" w:hAnsi="仿宋" w:eastAsia="仿宋" w:cs="仿宋"/>
          <w:bCs/>
          <w:color w:val="auto"/>
          <w:sz w:val="32"/>
          <w:szCs w:val="32"/>
          <w:lang w:val="en-US" w:eastAsia="zh-CN"/>
        </w:rPr>
        <w:t>违反了《中华人民共和国食品安全法》第三十四条第四项“禁止生产经营下列食品、食品添加剂、食品相关产品：（四）超范围、超范围使用食品添加剂的食品”之规定，构成生产经营超范围使用食品添加剂的违法行为。</w:t>
      </w:r>
    </w:p>
    <w:p w14:paraId="51C6D604">
      <w:pPr>
        <w:keepNext w:val="0"/>
        <w:keepLines w:val="0"/>
        <w:pageBreakBefore w:val="0"/>
        <w:widowControl w:val="0"/>
        <w:kinsoku/>
        <w:wordWrap w:val="0"/>
        <w:overflowPunct/>
        <w:topLinePunct w:val="0"/>
        <w:autoSpaceDE/>
        <w:autoSpaceDN/>
        <w:bidi w:val="0"/>
        <w:adjustRightInd w:val="0"/>
        <w:snapToGrid/>
        <w:spacing w:line="480" w:lineRule="exact"/>
        <w:ind w:firstLine="640" w:firstLineChars="200"/>
        <w:jc w:val="both"/>
        <w:textAlignment w:val="baseline"/>
        <w:rPr>
          <w:rFonts w:hint="eastAsia" w:ascii="仿宋" w:hAnsi="仿宋" w:eastAsia="仿宋" w:cs="仿宋"/>
          <w:color w:val="auto"/>
          <w:spacing w:val="0"/>
          <w:w w:val="100"/>
          <w:sz w:val="32"/>
          <w:szCs w:val="32"/>
          <w:u w:val="none" w:color="auto"/>
          <w:lang w:val="en-US" w:eastAsia="zh-CN"/>
        </w:rPr>
      </w:pPr>
      <w:r>
        <w:rPr>
          <w:rFonts w:hint="eastAsia" w:ascii="仿宋" w:hAnsi="仿宋" w:eastAsia="仿宋" w:cs="仿宋"/>
          <w:color w:val="auto"/>
          <w:spacing w:val="0"/>
          <w:w w:val="100"/>
          <w:sz w:val="32"/>
          <w:szCs w:val="32"/>
          <w:u w:val="none"/>
          <w:lang w:val="en-US" w:eastAsia="zh-CN"/>
        </w:rPr>
        <w:t>鉴于当事人能够积极配合调查，如实陈述违法事实并提供有关证据资料，其行为符合市场监管总局《关于规范市场监督管理行政处罚裁量权的指导意见》第十四条第（二）项“有下列情形之一的，可以依法从轻或者减轻行政处罚：...（二）积极配合市场监管部门调查并主动提供证据材料的；...”中关于减轻处罚的规定情形</w:t>
      </w:r>
      <w:r>
        <w:rPr>
          <w:rFonts w:hint="eastAsia" w:ascii="仿宋" w:hAnsi="仿宋" w:eastAsia="仿宋" w:cs="仿宋"/>
          <w:color w:val="auto"/>
          <w:sz w:val="32"/>
          <w:szCs w:val="32"/>
          <w:highlight w:val="none"/>
          <w:u w:val="none"/>
          <w:lang w:val="en-US" w:eastAsia="zh-CN"/>
        </w:rPr>
        <w:t>。结合本案情况，综合考虑当事人的情形，依据《中华人民共和国行政处罚法》</w:t>
      </w:r>
      <w:r>
        <w:rPr>
          <w:rFonts w:hint="eastAsia" w:ascii="仿宋" w:hAnsi="仿宋" w:eastAsia="仿宋" w:cs="仿宋"/>
          <w:color w:val="auto"/>
          <w:spacing w:val="0"/>
          <w:w w:val="100"/>
          <w:sz w:val="32"/>
          <w:szCs w:val="32"/>
          <w:u w:val="none"/>
          <w:lang w:val="en-US" w:eastAsia="zh-CN"/>
        </w:rPr>
        <w:t>第五条第二款“设定和实施行政处罚必须以事实为依据，与违法行为的事实、性质、情节以及社会危害程度相当”</w:t>
      </w:r>
      <w:r>
        <w:rPr>
          <w:rFonts w:hint="eastAsia" w:ascii="仿宋" w:hAnsi="仿宋" w:eastAsia="仿宋" w:cs="仿宋"/>
          <w:color w:val="auto"/>
          <w:sz w:val="32"/>
          <w:szCs w:val="32"/>
          <w:highlight w:val="none"/>
          <w:u w:val="none"/>
          <w:lang w:val="en-US" w:eastAsia="zh-CN"/>
        </w:rPr>
        <w:t>的规定，经我局集体讨论，对当事人作出减轻处罚的裁量决定。</w:t>
      </w:r>
    </w:p>
    <w:p w14:paraId="0C4F9D05">
      <w:pPr>
        <w:pStyle w:val="3"/>
        <w:keepNext w:val="0"/>
        <w:keepLines w:val="0"/>
        <w:pageBreakBefore w:val="0"/>
        <w:tabs>
          <w:tab w:val="left" w:pos="9060"/>
        </w:tabs>
        <w:kinsoku/>
        <w:overflowPunct/>
        <w:topLinePunct w:val="0"/>
        <w:bidi w:val="0"/>
        <w:spacing w:line="480" w:lineRule="exact"/>
        <w:ind w:firstLine="640" w:firstLineChars="200"/>
        <w:rPr>
          <w:rFonts w:hint="eastAsia" w:ascii="仿宋" w:hAnsi="仿宋" w:eastAsia="仿宋" w:cs="仿宋"/>
          <w:b w:val="0"/>
          <w:bCs/>
          <w:color w:val="auto"/>
          <w:kern w:val="1"/>
          <w:sz w:val="32"/>
          <w:szCs w:val="32"/>
        </w:rPr>
      </w:pPr>
      <w:r>
        <w:rPr>
          <w:rFonts w:hint="eastAsia" w:ascii="仿宋" w:hAnsi="仿宋" w:eastAsia="仿宋" w:cs="仿宋"/>
          <w:b w:val="0"/>
          <w:bCs/>
          <w:color w:val="auto"/>
          <w:kern w:val="1"/>
          <w:sz w:val="32"/>
          <w:szCs w:val="32"/>
        </w:rPr>
        <w:t>综上，</w:t>
      </w:r>
      <w:r>
        <w:rPr>
          <w:rFonts w:hint="eastAsia" w:ascii="仿宋" w:hAnsi="仿宋" w:eastAsia="仿宋" w:cs="仿宋"/>
          <w:color w:val="auto"/>
          <w:spacing w:val="0"/>
          <w:w w:val="100"/>
          <w:sz w:val="32"/>
          <w:szCs w:val="32"/>
          <w:u w:val="none"/>
          <w:lang w:val="en-US" w:eastAsia="zh-CN"/>
        </w:rPr>
        <w:t>当事人</w:t>
      </w:r>
      <w:r>
        <w:rPr>
          <w:rFonts w:hint="eastAsia" w:ascii="仿宋" w:hAnsi="仿宋" w:eastAsia="仿宋" w:cs="仿宋"/>
          <w:color w:val="auto"/>
          <w:sz w:val="32"/>
          <w:szCs w:val="32"/>
          <w:lang w:eastAsia="zh-CN"/>
        </w:rPr>
        <w:t>经营超范围使用食品添加剂的狗肉</w:t>
      </w:r>
      <w:r>
        <w:rPr>
          <w:rFonts w:hint="eastAsia" w:ascii="仿宋" w:hAnsi="仿宋" w:eastAsia="仿宋" w:cs="仿宋"/>
          <w:color w:val="auto"/>
          <w:spacing w:val="0"/>
          <w:w w:val="100"/>
          <w:sz w:val="32"/>
          <w:szCs w:val="32"/>
          <w:u w:val="none"/>
          <w:lang w:val="en-US" w:eastAsia="zh-CN"/>
        </w:rPr>
        <w:t>的违法行为，依据《中华人民共和国食品安全法》第一百二十四条第一款第（三）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三）生产经营超范围、超范围使用食品添加剂的食品”的规定，且根据《中华人民共和国行政处罚法》第二十八条第一款“行政机关实施行政处罚时，应当责令当事人改正或者限期改正违法行为”的规定，</w:t>
      </w:r>
      <w:r>
        <w:rPr>
          <w:rFonts w:hint="eastAsia" w:ascii="仿宋" w:hAnsi="仿宋" w:eastAsia="仿宋" w:cs="仿宋"/>
          <w:b w:val="0"/>
          <w:bCs/>
          <w:color w:val="auto"/>
          <w:kern w:val="1"/>
          <w:sz w:val="32"/>
          <w:szCs w:val="32"/>
        </w:rPr>
        <w:t>现责令当事人改正上述违法行为，并决定处罚如下</w:t>
      </w:r>
      <w:r>
        <w:rPr>
          <w:rFonts w:hint="eastAsia" w:ascii="仿宋" w:hAnsi="仿宋" w:eastAsia="仿宋" w:cs="仿宋"/>
          <w:color w:val="auto"/>
          <w:spacing w:val="0"/>
          <w:w w:val="100"/>
          <w:sz w:val="32"/>
          <w:szCs w:val="32"/>
          <w:u w:val="none"/>
          <w:lang w:val="en-US" w:eastAsia="zh-CN"/>
        </w:rPr>
        <w:t>（减轻）</w:t>
      </w:r>
      <w:r>
        <w:rPr>
          <w:rFonts w:hint="eastAsia" w:ascii="仿宋" w:hAnsi="仿宋" w:eastAsia="仿宋" w:cs="仿宋"/>
          <w:b w:val="0"/>
          <w:bCs/>
          <w:color w:val="auto"/>
          <w:kern w:val="1"/>
          <w:sz w:val="32"/>
          <w:szCs w:val="32"/>
        </w:rPr>
        <w:t>：</w:t>
      </w:r>
    </w:p>
    <w:p w14:paraId="62256E69">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jc w:val="both"/>
        <w:textAlignment w:val="auto"/>
        <w:rPr>
          <w:rFonts w:hint="eastAsia" w:ascii="仿宋" w:hAnsi="仿宋" w:eastAsia="仿宋" w:cs="仿宋"/>
          <w:color w:val="auto"/>
          <w:spacing w:val="0"/>
          <w:w w:val="100"/>
          <w:sz w:val="32"/>
          <w:szCs w:val="32"/>
          <w:u w:val="none"/>
          <w:lang w:val="en-US" w:eastAsia="zh-CN"/>
        </w:rPr>
      </w:pPr>
      <w:r>
        <w:rPr>
          <w:rFonts w:hint="eastAsia" w:ascii="仿宋" w:hAnsi="仿宋" w:eastAsia="仿宋" w:cs="仿宋"/>
          <w:color w:val="auto"/>
          <w:spacing w:val="0"/>
          <w:w w:val="100"/>
          <w:sz w:val="32"/>
          <w:szCs w:val="32"/>
          <w:u w:val="none"/>
          <w:lang w:val="en-US" w:eastAsia="zh-CN"/>
        </w:rPr>
        <w:t>1、没收违法所得人民币壹佰伍拾柒元整（¥157.00）；</w:t>
      </w:r>
    </w:p>
    <w:p w14:paraId="4344966E">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jc w:val="both"/>
        <w:textAlignment w:val="auto"/>
        <w:rPr>
          <w:rFonts w:hint="eastAsia" w:ascii="仿宋" w:hAnsi="仿宋" w:eastAsia="仿宋" w:cs="仿宋"/>
          <w:color w:val="auto"/>
          <w:spacing w:val="0"/>
          <w:w w:val="100"/>
          <w:sz w:val="32"/>
          <w:szCs w:val="32"/>
          <w:u w:val="none"/>
          <w:lang w:val="en-US" w:eastAsia="zh-CN"/>
        </w:rPr>
      </w:pPr>
      <w:r>
        <w:rPr>
          <w:rFonts w:hint="eastAsia" w:ascii="仿宋" w:hAnsi="仿宋" w:eastAsia="仿宋" w:cs="仿宋"/>
          <w:color w:val="auto"/>
          <w:spacing w:val="0"/>
          <w:w w:val="100"/>
          <w:sz w:val="32"/>
          <w:szCs w:val="32"/>
          <w:u w:val="none"/>
          <w:lang w:val="en-US" w:eastAsia="zh-CN"/>
        </w:rPr>
        <w:t>2、罚款人民币柒仟元整（¥7000.00）；</w:t>
      </w:r>
    </w:p>
    <w:p w14:paraId="269FD96D">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jc w:val="both"/>
        <w:textAlignment w:val="auto"/>
        <w:rPr>
          <w:rFonts w:hint="eastAsia" w:ascii="仿宋" w:hAnsi="仿宋" w:eastAsia="仿宋" w:cs="仿宋"/>
          <w:color w:val="auto"/>
          <w:spacing w:val="0"/>
          <w:w w:val="100"/>
          <w:sz w:val="32"/>
          <w:szCs w:val="32"/>
          <w:u w:val="none"/>
          <w:lang w:val="en-US" w:eastAsia="zh-CN"/>
        </w:rPr>
      </w:pPr>
      <w:r>
        <w:rPr>
          <w:rFonts w:hint="eastAsia" w:ascii="仿宋" w:hAnsi="仿宋" w:eastAsia="仿宋" w:cs="仿宋"/>
          <w:color w:val="auto"/>
          <w:spacing w:val="0"/>
          <w:w w:val="100"/>
          <w:sz w:val="32"/>
          <w:szCs w:val="32"/>
          <w:u w:val="none"/>
          <w:lang w:val="en-US" w:eastAsia="zh-CN"/>
        </w:rPr>
        <w:t>罚没合计人民币柒仟壹佰伍拾柒元整（¥7157.00）。</w:t>
      </w:r>
    </w:p>
    <w:p w14:paraId="3F123570">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依据《中华人民共和国行政处罚法》第六十七条第三款规定，请在接到本处罚决定书之日起十五日内携缴款码到（工、农、中、建）任一银行网点或者网上银行缴纳罚款，也可微信关注山东财政公众号，点击微服务--非税缴费，缴纳罚款。</w:t>
      </w:r>
    </w:p>
    <w:p w14:paraId="5405F72D">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jc w:val="both"/>
        <w:textAlignment w:val="auto"/>
        <w:rPr>
          <w:rFonts w:hint="eastAsia" w:ascii="仿宋" w:hAnsi="仿宋" w:eastAsia="仿宋" w:cs="仿宋"/>
          <w:color w:val="000000"/>
          <w:spacing w:val="0"/>
          <w:w w:val="100"/>
          <w:sz w:val="32"/>
          <w:szCs w:val="32"/>
          <w:u w:val="none"/>
          <w:lang w:val="en-US" w:eastAsia="zh-CN"/>
        </w:rPr>
      </w:pPr>
      <w:r>
        <w:rPr>
          <w:rFonts w:hint="eastAsia" w:ascii="仿宋" w:hAnsi="仿宋" w:eastAsia="仿宋" w:cs="仿宋"/>
          <w:color w:val="000000"/>
          <w:spacing w:val="0"/>
          <w:w w:val="100"/>
          <w:sz w:val="32"/>
          <w:szCs w:val="32"/>
          <w:u w:val="none"/>
          <w:lang w:val="en-US" w:eastAsia="zh-CN"/>
        </w:rPr>
        <w:t>到期不缴纳罚没款的，依据《中华人民共和国行政处罚法》第七十二条的规定，本局将每日按罚款数额的百分之三加处罚款，并依法申请人民法院强制执行。</w:t>
      </w:r>
    </w:p>
    <w:p w14:paraId="0E4E6DD9">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80" w:lineRule="exact"/>
        <w:ind w:firstLine="640" w:firstLineChars="200"/>
        <w:textAlignment w:val="auto"/>
        <w:rPr>
          <w:rFonts w:hint="eastAsia" w:ascii="仿宋" w:hAnsi="仿宋" w:eastAsia="仿宋" w:cs="仿宋"/>
          <w:b w:val="0"/>
          <w:bCs/>
          <w:color w:val="auto"/>
          <w:kern w:val="2"/>
          <w:sz w:val="32"/>
          <w:szCs w:val="32"/>
          <w:u w:val="single"/>
          <w:lang w:val="en-US" w:eastAsia="zh-CN" w:bidi="ar-SA"/>
        </w:rPr>
      </w:pPr>
      <w:r>
        <w:rPr>
          <w:rFonts w:hint="eastAsia" w:ascii="仿宋" w:hAnsi="仿宋" w:eastAsia="仿宋" w:cs="仿宋"/>
          <w:color w:val="000000"/>
          <w:spacing w:val="0"/>
          <w:w w:val="100"/>
          <w:sz w:val="32"/>
          <w:szCs w:val="32"/>
          <w:u w:val="none"/>
          <w:lang w:val="en-US" w:eastAsia="zh-CN"/>
        </w:rPr>
        <w:t>如不服本处罚决定，可在接到本处罚决定书之日起六十日内向薛城区人民政府申请行政复议，也可以于六个月内依法向薛城区人民法院等有管辖权的法院，提起行政诉讼。申请行政复议或者提起行政诉讼期间，行政处罚不停止执行</w:t>
      </w:r>
      <w:r>
        <w:rPr>
          <w:rFonts w:hint="eastAsia" w:ascii="仿宋" w:hAnsi="仿宋" w:eastAsia="仿宋" w:cs="仿宋"/>
          <w:b w:val="0"/>
          <w:bCs/>
          <w:color w:val="auto"/>
          <w:kern w:val="2"/>
          <w:sz w:val="32"/>
          <w:szCs w:val="32"/>
          <w:u w:val="single"/>
          <w:lang w:val="en-US" w:eastAsia="zh-CN" w:bidi="ar-SA"/>
        </w:rPr>
        <w:t>。(网上提交行政复议申请网址:https://12348.shandong.gov.cn/fysq)。</w:t>
      </w:r>
    </w:p>
    <w:p w14:paraId="406BB6ED">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480" w:lineRule="exact"/>
        <w:ind w:firstLine="640" w:firstLineChars="200"/>
        <w:textAlignment w:val="auto"/>
        <w:rPr>
          <w:rFonts w:hint="eastAsia" w:ascii="仿宋" w:hAnsi="仿宋" w:eastAsia="仿宋" w:cs="仿宋"/>
          <w:b w:val="0"/>
          <w:bCs/>
          <w:color w:val="auto"/>
          <w:kern w:val="2"/>
          <w:sz w:val="32"/>
          <w:szCs w:val="32"/>
          <w:u w:val="single"/>
          <w:lang w:val="en-US" w:eastAsia="zh-CN" w:bidi="ar-SA"/>
        </w:rPr>
      </w:pPr>
    </w:p>
    <w:p w14:paraId="05620C3B">
      <w:pPr>
        <w:keepNext w:val="0"/>
        <w:keepLines w:val="0"/>
        <w:pageBreakBefore w:val="0"/>
        <w:kinsoku/>
        <w:overflowPunct/>
        <w:topLinePunct w:val="0"/>
        <w:bidi w:val="0"/>
        <w:spacing w:line="480" w:lineRule="exact"/>
        <w:ind w:right="640" w:firstLine="601"/>
        <w:jc w:val="right"/>
        <w:rPr>
          <w:rFonts w:hint="eastAsia" w:ascii="仿宋" w:hAnsi="仿宋" w:eastAsia="仿宋" w:cs="仿宋"/>
          <w:color w:val="auto"/>
          <w:sz w:val="32"/>
          <w:szCs w:val="32"/>
        </w:rPr>
      </w:pPr>
      <w:bookmarkStart w:id="7" w:name="DYNAMIC—DWXX—tAj_dwmc—2"/>
      <w:r>
        <w:rPr>
          <w:rFonts w:hint="eastAsia" w:ascii="仿宋" w:hAnsi="仿宋" w:eastAsia="仿宋" w:cs="仿宋"/>
          <w:color w:val="auto"/>
          <w:sz w:val="32"/>
          <w:szCs w:val="32"/>
        </w:rPr>
        <w:t>薛城区市场监督管理局</w:t>
      </w:r>
      <w:bookmarkEnd w:id="7"/>
      <w:r>
        <w:rPr>
          <w:rFonts w:hint="eastAsia" w:ascii="仿宋" w:hAnsi="仿宋" w:eastAsia="仿宋" w:cs="仿宋"/>
          <w:color w:val="auto"/>
          <w:sz w:val="32"/>
          <w:szCs w:val="32"/>
        </w:rPr>
        <w:t xml:space="preserve">    </w:t>
      </w:r>
    </w:p>
    <w:p w14:paraId="5C9C65F5">
      <w:pPr>
        <w:keepNext w:val="0"/>
        <w:keepLines w:val="0"/>
        <w:pageBreakBefore w:val="0"/>
        <w:kinsoku/>
        <w:overflowPunct/>
        <w:topLinePunct w:val="0"/>
        <w:bidi w:val="0"/>
        <w:spacing w:line="480" w:lineRule="exact"/>
        <w:ind w:right="640" w:firstLine="601"/>
        <w:jc w:val="center"/>
        <w:outlineLvl w:val="1"/>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（印 章）</w:t>
      </w:r>
    </w:p>
    <w:p w14:paraId="143ACE90">
      <w:pPr>
        <w:keepNext w:val="0"/>
        <w:keepLines w:val="0"/>
        <w:pageBreakBefore w:val="0"/>
        <w:widowControl w:val="0"/>
        <w:kinsoku/>
        <w:wordWrap/>
        <w:overflowPunct/>
        <w:topLinePunct w:val="0"/>
        <w:autoSpaceDE/>
        <w:autoSpaceDN/>
        <w:bidi w:val="0"/>
        <w:adjustRightInd/>
        <w:snapToGrid/>
        <w:spacing w:line="48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bookmarkStart w:id="8" w:name="CALCULATE—TIME—NOW"/>
      <w:r>
        <w:rPr>
          <w:rFonts w:hint="eastAsia" w:ascii="仿宋" w:hAnsi="仿宋" w:eastAsia="仿宋" w:cs="仿宋"/>
          <w:color w:val="auto"/>
          <w:sz w:val="32"/>
          <w:szCs w:val="32"/>
        </w:rPr>
        <w:t>2026年3月31日</w:t>
      </w:r>
      <w:bookmarkEnd w:id="8"/>
      <w:r>
        <w:rPr>
          <w:rFonts w:hint="eastAsia" w:ascii="仿宋" w:hAnsi="仿宋" w:eastAsia="仿宋" w:cs="仿宋"/>
          <w:color w:val="auto"/>
          <w:sz w:val="32"/>
          <w:szCs w:val="32"/>
        </w:rPr>
        <w:t xml:space="preserve">  </w:t>
      </w:r>
    </w:p>
    <w:p w14:paraId="317958D6">
      <w:pPr>
        <w:keepNext w:val="0"/>
        <w:keepLines w:val="0"/>
        <w:pageBreakBefore w:val="0"/>
        <w:widowControl w:val="0"/>
        <w:kinsoku/>
        <w:wordWrap/>
        <w:overflowPunct/>
        <w:topLinePunct w:val="0"/>
        <w:autoSpaceDE/>
        <w:autoSpaceDN/>
        <w:bidi w:val="0"/>
        <w:adjustRightInd/>
        <w:snapToGrid/>
        <w:spacing w:line="480" w:lineRule="exact"/>
        <w:ind w:left="0" w:leftChars="0" w:right="630" w:rightChars="300" w:firstLine="600" w:firstLineChars="0"/>
        <w:jc w:val="right"/>
        <w:textAlignment w:val="auto"/>
        <w:outlineLvl w:val="9"/>
        <w:rPr>
          <w:rFonts w:hint="eastAsia" w:ascii="仿宋" w:hAnsi="仿宋" w:eastAsia="仿宋" w:cs="仿宋"/>
          <w:color w:val="auto"/>
          <w:sz w:val="32"/>
          <w:szCs w:val="32"/>
        </w:rPr>
      </w:pPr>
    </w:p>
    <w:p w14:paraId="5A47480E">
      <w:pPr>
        <w:pStyle w:val="3"/>
        <w:keepNext w:val="0"/>
        <w:keepLines w:val="0"/>
        <w:pageBreakBefore w:val="0"/>
        <w:kinsoku/>
        <w:overflowPunct/>
        <w:topLinePunct w:val="0"/>
        <w:bidi w:val="0"/>
        <w:spacing w:before="1" w:line="480" w:lineRule="exact"/>
        <w:ind w:left="163"/>
        <w:rPr>
          <w:rFonts w:hint="eastAsia" w:ascii="仿宋" w:hAnsi="仿宋" w:eastAsia="仿宋" w:cs="仿宋"/>
          <w:bCs/>
          <w:color w:val="auto"/>
          <w:sz w:val="32"/>
          <w:szCs w:val="32"/>
        </w:rPr>
      </w:pPr>
      <w:r>
        <w:rPr>
          <w:rFonts w:hint="eastAsia" w:ascii="仿宋" w:hAnsi="仿宋" w:eastAsia="仿宋" w:cs="仿宋"/>
          <w:color w:val="auto"/>
          <w:spacing w:val="-16"/>
          <w:sz w:val="32"/>
          <w:szCs w:val="32"/>
        </w:rPr>
        <w:t>（市场监督管理部门将依法向社会公开行政处罚决定信息）</w:t>
      </w:r>
    </w:p>
    <w:p w14:paraId="77C8BB8F">
      <w:pPr>
        <w:keepNext w:val="0"/>
        <w:keepLines w:val="0"/>
        <w:pageBreakBefore w:val="0"/>
        <w:kinsoku/>
        <w:overflowPunct/>
        <w:topLinePunct w:val="0"/>
        <w:bidi w:val="0"/>
        <w:spacing w:line="480" w:lineRule="exact"/>
        <w:rPr>
          <w:rFonts w:hint="eastAsia" w:ascii="仿宋" w:hAnsi="仿宋" w:eastAsia="仿宋" w:cs="仿宋"/>
          <w:color w:val="auto"/>
          <w:sz w:val="32"/>
          <w:szCs w:val="32"/>
        </w:rPr>
      </w:pPr>
      <w:r>
        <w:rPr>
          <w:rFonts w:hint="eastAsia" w:ascii="仿宋" w:hAnsi="仿宋" w:eastAsia="仿宋" w:cs="仿宋"/>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34290</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4pt;margin-top:2.7pt;height:0.05pt;width:437.05pt;z-index:251661312;mso-width-relative:page;mso-height-relative:page;" filled="f" stroked="t" coordsize="21600,21600" o:gfxdata="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n&#10;RvDVAAAABQEAAA8AAAAAAAAAAQAgAAAAIgAAAGRycy9kb3ducmV2LnhtbFBLAQIUABQAAAAIAIdO&#10;4kCWTccB7QEAAN0DAAAOAAAAAAAAAAEAIAAAACQBAABkcnMvZTJvRG9jLnhtbFBLBQYAAAAABgAG&#10;AFkBAACDBQAAAAA=&#10;">
                <v:fill on="f" focussize="0,0"/>
                <v:stroke weight="1.25pt" color="#000000" joinstyle="round"/>
                <v:imagedata o:title=""/>
                <o:lock v:ext="edit" aspectratio="f"/>
              </v:line>
            </w:pict>
          </mc:Fallback>
        </mc:AlternateContent>
      </w:r>
      <w:r>
        <w:rPr>
          <w:rFonts w:hint="eastAsia" w:ascii="仿宋" w:hAnsi="仿宋" w:eastAsia="仿宋" w:cs="仿宋"/>
          <w:color w:val="000000"/>
          <w:spacing w:val="0"/>
          <w:w w:val="100"/>
          <w:sz w:val="32"/>
          <w:szCs w:val="32"/>
        </w:rPr>
        <w:t>本文书一式三份，一份送达，一份归档，一份承办机构留存</w:t>
      </w:r>
      <w:r>
        <w:rPr>
          <w:rFonts w:hint="eastAsia" w:ascii="仿宋" w:hAnsi="仿宋" w:eastAsia="仿宋"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ngal">
    <w:altName w:val="C059"/>
    <w:panose1 w:val="000004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C059"/>
    <w:panose1 w:val="03000500000000000000"/>
    <w:charset w:val="00"/>
    <w:family w:val="script"/>
    <w:pitch w:val="default"/>
    <w:sig w:usb0="00000000" w:usb1="00000000" w:usb2="0002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28F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8B091">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32134F"/>
    <w:rsid w:val="02532161"/>
    <w:rsid w:val="02B83402"/>
    <w:rsid w:val="04CD463F"/>
    <w:rsid w:val="04FA4431"/>
    <w:rsid w:val="06BAE61F"/>
    <w:rsid w:val="071C7669"/>
    <w:rsid w:val="0776795A"/>
    <w:rsid w:val="08365B64"/>
    <w:rsid w:val="0B22091D"/>
    <w:rsid w:val="0CF71776"/>
    <w:rsid w:val="103E22C5"/>
    <w:rsid w:val="1350279A"/>
    <w:rsid w:val="14203063"/>
    <w:rsid w:val="143E1E38"/>
    <w:rsid w:val="152E563E"/>
    <w:rsid w:val="15B93156"/>
    <w:rsid w:val="17FB1D09"/>
    <w:rsid w:val="18325353"/>
    <w:rsid w:val="18B229B2"/>
    <w:rsid w:val="19FA202D"/>
    <w:rsid w:val="19FE4517"/>
    <w:rsid w:val="1AE345F4"/>
    <w:rsid w:val="1C9C2B08"/>
    <w:rsid w:val="1DA4420A"/>
    <w:rsid w:val="1F2B5D07"/>
    <w:rsid w:val="1FD31F15"/>
    <w:rsid w:val="204E6D60"/>
    <w:rsid w:val="236534A4"/>
    <w:rsid w:val="23891ADE"/>
    <w:rsid w:val="244E1F2B"/>
    <w:rsid w:val="24626694"/>
    <w:rsid w:val="258D6CE0"/>
    <w:rsid w:val="2B1B3EFC"/>
    <w:rsid w:val="2CEA3815"/>
    <w:rsid w:val="2DE10173"/>
    <w:rsid w:val="2F327E79"/>
    <w:rsid w:val="2F7CE1EF"/>
    <w:rsid w:val="30DB5683"/>
    <w:rsid w:val="342602B0"/>
    <w:rsid w:val="3585615B"/>
    <w:rsid w:val="364F4412"/>
    <w:rsid w:val="368E5656"/>
    <w:rsid w:val="377FBB27"/>
    <w:rsid w:val="37D119EB"/>
    <w:rsid w:val="37F16547"/>
    <w:rsid w:val="38B63DA7"/>
    <w:rsid w:val="3930619F"/>
    <w:rsid w:val="39CE78FF"/>
    <w:rsid w:val="3A4E178D"/>
    <w:rsid w:val="3BF97ECA"/>
    <w:rsid w:val="3C2965F0"/>
    <w:rsid w:val="3D6A5F84"/>
    <w:rsid w:val="3F2604DF"/>
    <w:rsid w:val="3F6783E4"/>
    <w:rsid w:val="3FFF82D4"/>
    <w:rsid w:val="402E7C06"/>
    <w:rsid w:val="40FE5F8F"/>
    <w:rsid w:val="425049CE"/>
    <w:rsid w:val="43D917BF"/>
    <w:rsid w:val="4659781C"/>
    <w:rsid w:val="47494674"/>
    <w:rsid w:val="480D3A23"/>
    <w:rsid w:val="48C10000"/>
    <w:rsid w:val="4A256B30"/>
    <w:rsid w:val="4B8F0B22"/>
    <w:rsid w:val="4BA637A9"/>
    <w:rsid w:val="4BD32FF0"/>
    <w:rsid w:val="4C02380F"/>
    <w:rsid w:val="4CC8271B"/>
    <w:rsid w:val="4D9306AE"/>
    <w:rsid w:val="4E8950D9"/>
    <w:rsid w:val="4F0457DF"/>
    <w:rsid w:val="4FB170DF"/>
    <w:rsid w:val="52B4767F"/>
    <w:rsid w:val="5376727D"/>
    <w:rsid w:val="547C0750"/>
    <w:rsid w:val="55BB35AD"/>
    <w:rsid w:val="57413EFD"/>
    <w:rsid w:val="57503162"/>
    <w:rsid w:val="591F0542"/>
    <w:rsid w:val="5AC669A8"/>
    <w:rsid w:val="5BA419F7"/>
    <w:rsid w:val="5BF91583"/>
    <w:rsid w:val="5BFB2E57"/>
    <w:rsid w:val="5DD7483B"/>
    <w:rsid w:val="5DED5CA7"/>
    <w:rsid w:val="5E5FAB03"/>
    <w:rsid w:val="5F9FEDD5"/>
    <w:rsid w:val="5FBEF003"/>
    <w:rsid w:val="5FE33914"/>
    <w:rsid w:val="5FFA4D85"/>
    <w:rsid w:val="602422E6"/>
    <w:rsid w:val="60B635F2"/>
    <w:rsid w:val="612E7E8C"/>
    <w:rsid w:val="636563E1"/>
    <w:rsid w:val="64E43803"/>
    <w:rsid w:val="66733921"/>
    <w:rsid w:val="69690BB2"/>
    <w:rsid w:val="698260C7"/>
    <w:rsid w:val="6AD7030F"/>
    <w:rsid w:val="6BCC1BB9"/>
    <w:rsid w:val="6D923254"/>
    <w:rsid w:val="6E04767D"/>
    <w:rsid w:val="6E6950E9"/>
    <w:rsid w:val="6EDD7062"/>
    <w:rsid w:val="6F732ABB"/>
    <w:rsid w:val="6FF58B64"/>
    <w:rsid w:val="6FF8F863"/>
    <w:rsid w:val="70CF02CA"/>
    <w:rsid w:val="71013020"/>
    <w:rsid w:val="710D7C3E"/>
    <w:rsid w:val="7376089F"/>
    <w:rsid w:val="759E10C5"/>
    <w:rsid w:val="75B2DA43"/>
    <w:rsid w:val="75BD90DB"/>
    <w:rsid w:val="76F81584"/>
    <w:rsid w:val="77DF8BD4"/>
    <w:rsid w:val="77EFD5CC"/>
    <w:rsid w:val="77FFADAC"/>
    <w:rsid w:val="7A0635C0"/>
    <w:rsid w:val="7A252A8D"/>
    <w:rsid w:val="7B0F6E9A"/>
    <w:rsid w:val="7BC05BCA"/>
    <w:rsid w:val="7BFD6076"/>
    <w:rsid w:val="7C8E43D6"/>
    <w:rsid w:val="7DA813EB"/>
    <w:rsid w:val="7DFF108F"/>
    <w:rsid w:val="7EED8AE6"/>
    <w:rsid w:val="7FEADF5C"/>
    <w:rsid w:val="91BF8AB9"/>
    <w:rsid w:val="9FF1B21D"/>
    <w:rsid w:val="B7BFD803"/>
    <w:rsid w:val="BD5EB179"/>
    <w:rsid w:val="BD7F788E"/>
    <w:rsid w:val="D9E75825"/>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582</Words>
  <Characters>661</Characters>
  <Lines>0</Lines>
  <Paragraphs>0</Paragraphs>
  <TotalTime>8</TotalTime>
  <ScaleCrop>false</ScaleCrop>
  <LinksUpToDate>false</LinksUpToDate>
  <CharactersWithSpaces>1911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2021-08-02T18:04:00Z</dcterms:created>
  <dc:creator>胖林宝宝噜啦噜～</dc:creator>
  <cp:lastModifiedBy>01sj</cp:lastModifiedBy>
  <cp:lastPrinted>2026-04-01T08:45:00Z</cp:lastPrinted>
  <dcterms:modified xsi:type="dcterms:W3CDTF">2026-04-01T15:24:27Z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3A34821A128642FEBA23A4FE8BB92A72_13</vt:lpwstr>
  </property>
  <property fmtid="{D5CDD505-2E9C-101B-9397-08002B2CF9AE}" pid="4" name="KSOTemplateDocerSaveRecord">
    <vt:lpwstr>eyJoZGlkIjoiM2MyMjViYmU0NTQ5OGRkNDcyNGYzOTMxZjE0MmFlYmYiLCJ1c2VySWQiOiIyODQ4MDE1MTAifQ==</vt:lpwstr>
  </property>
</Properties>
</file>