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CD8C">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薛城区市场监督管理局</w:t>
      </w:r>
      <w:bookmarkEnd w:id="0"/>
    </w:p>
    <w:p w14:paraId="7D263371">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7EA39DC5">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薛市监处罚〔2026〕660号</w:t>
      </w:r>
      <w:bookmarkEnd w:id="2"/>
    </w:p>
    <w:p w14:paraId="01D329AB">
      <w:pPr>
        <w:keepNext w:val="0"/>
        <w:keepLines w:val="0"/>
        <w:pageBreakBefore w:val="0"/>
        <w:widowControl w:val="0"/>
        <w:kinsoku/>
        <w:wordWrap/>
        <w:overflowPunct/>
        <w:topLinePunct w:val="0"/>
        <w:bidi w:val="0"/>
        <w:snapToGrid/>
        <w:spacing w:before="315" w:beforeLines="100" w:line="400" w:lineRule="exact"/>
        <w:ind w:left="142" w:hanging="142"/>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当事人：</w:t>
      </w:r>
      <w:bookmarkStart w:id="3" w:name="CALCULATE—DSR—tAjDsrs_cMc"/>
      <w:r>
        <w:rPr>
          <w:rFonts w:hint="eastAsia" w:ascii="仿宋_GB2312" w:hAnsi="仿宋_GB2312" w:eastAsia="仿宋_GB2312" w:cs="仿宋_GB2312"/>
          <w:b w:val="0"/>
          <w:color w:val="000000"/>
          <w:sz w:val="32"/>
          <w:szCs w:val="32"/>
          <w:u w:val="none" w:color="auto"/>
        </w:rPr>
        <w:t>枣庄正轩机电设备有限公司</w:t>
      </w:r>
      <w:bookmarkEnd w:id="3"/>
      <w:r>
        <w:rPr>
          <w:rFonts w:hint="eastAsia" w:ascii="仿宋_GB2312" w:hAnsi="仿宋_GB2312" w:eastAsia="仿宋_GB2312" w:cs="仿宋_GB2312"/>
          <w:b w:val="0"/>
          <w:bCs/>
          <w:color w:val="000000"/>
          <w:kern w:val="1"/>
          <w:sz w:val="32"/>
          <w:szCs w:val="32"/>
          <w:u w:val="none" w:color="auto"/>
        </w:rPr>
        <w:t xml:space="preserve">                                            </w:t>
      </w:r>
    </w:p>
    <w:p w14:paraId="3CFD1A68">
      <w:pPr>
        <w:keepNext w:val="0"/>
        <w:keepLines w:val="0"/>
        <w:pageBreakBefore w:val="0"/>
        <w:widowControl w:val="0"/>
        <w:kinsoku/>
        <w:wordWrap/>
        <w:overflowPunct/>
        <w:topLinePunct w:val="0"/>
        <w:bidi w:val="0"/>
        <w:snapToGrid/>
        <w:spacing w:line="400" w:lineRule="exact"/>
        <w:ind w:left="140" w:hanging="140"/>
        <w:textAlignment w:val="auto"/>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主体资格证照名称：</w:t>
      </w:r>
      <w:bookmarkStart w:id="4" w:name="CALCULATE—DSR—tAjDsrs_cZtzgzzmc"/>
      <w:r>
        <w:rPr>
          <w:rFonts w:hint="eastAsia" w:ascii="仿宋_GB2312" w:hAnsi="仿宋_GB2312" w:eastAsia="仿宋_GB2312" w:cs="仿宋_GB2312"/>
          <w:b w:val="0"/>
          <w:color w:val="000000"/>
          <w:sz w:val="32"/>
          <w:szCs w:val="32"/>
          <w:u w:val="none" w:color="auto"/>
        </w:rPr>
        <w:t>营业执照</w:t>
      </w:r>
      <w:bookmarkEnd w:id="4"/>
      <w:r>
        <w:rPr>
          <w:rFonts w:hint="eastAsia" w:ascii="仿宋_GB2312" w:hAnsi="仿宋_GB2312" w:eastAsia="仿宋_GB2312" w:cs="仿宋_GB2312"/>
          <w:b w:val="0"/>
          <w:bCs/>
          <w:color w:val="000000"/>
          <w:kern w:val="1"/>
          <w:sz w:val="32"/>
          <w:szCs w:val="32"/>
          <w:u w:val="none" w:color="auto"/>
        </w:rPr>
        <w:t xml:space="preserve">                                  </w:t>
      </w:r>
    </w:p>
    <w:p w14:paraId="6112D816">
      <w:pPr>
        <w:keepNext w:val="0"/>
        <w:keepLines w:val="0"/>
        <w:pageBreakBefore w:val="0"/>
        <w:widowControl w:val="0"/>
        <w:kinsoku/>
        <w:wordWrap/>
        <w:overflowPunct/>
        <w:topLinePunct w:val="0"/>
        <w:bidi w:val="0"/>
        <w:snapToGrid/>
        <w:spacing w:line="400" w:lineRule="exact"/>
        <w:ind w:left="140" w:hanging="140"/>
        <w:textAlignment w:val="auto"/>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统一社会信用代码：</w:t>
      </w:r>
      <w:bookmarkStart w:id="5" w:name="CALCULATE—DSR—tAjDsrs_cTzshxydm"/>
      <w:r>
        <w:rPr>
          <w:rFonts w:hint="eastAsia" w:ascii="仿宋_GB2312" w:hAnsi="仿宋_GB2312" w:eastAsia="仿宋_GB2312" w:cs="仿宋_GB2312"/>
          <w:b w:val="0"/>
          <w:color w:val="000000"/>
          <w:sz w:val="32"/>
          <w:szCs w:val="32"/>
          <w:u w:val="none" w:color="auto"/>
        </w:rPr>
        <w:t>91370403MA3NNW0U1N</w:t>
      </w:r>
      <w:bookmarkEnd w:id="5"/>
      <w:r>
        <w:rPr>
          <w:rFonts w:hint="eastAsia" w:ascii="仿宋_GB2312" w:hAnsi="仿宋_GB2312" w:eastAsia="仿宋_GB2312" w:cs="仿宋_GB2312"/>
          <w:b w:val="0"/>
          <w:bCs/>
          <w:color w:val="000000"/>
          <w:kern w:val="1"/>
          <w:sz w:val="32"/>
          <w:szCs w:val="32"/>
          <w:u w:val="none" w:color="auto"/>
        </w:rPr>
        <w:t xml:space="preserve">                                  </w:t>
      </w:r>
    </w:p>
    <w:p w14:paraId="7EDC33E1">
      <w:pPr>
        <w:keepNext w:val="0"/>
        <w:keepLines w:val="0"/>
        <w:pageBreakBefore w:val="0"/>
        <w:widowControl w:val="0"/>
        <w:kinsoku/>
        <w:wordWrap/>
        <w:overflowPunct/>
        <w:topLinePunct w:val="0"/>
        <w:bidi w:val="0"/>
        <w:snapToGrid/>
        <w:spacing w:line="400" w:lineRule="exact"/>
        <w:ind w:left="140" w:hanging="140"/>
        <w:textAlignment w:val="auto"/>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住所（住址）：</w:t>
      </w:r>
      <w:bookmarkStart w:id="6" w:name="CALCULATE—DSR—tAjDsrs_cLxdzSheng"/>
      <w:r>
        <w:rPr>
          <w:rFonts w:hint="eastAsia" w:ascii="仿宋_GB2312" w:hAnsi="仿宋_GB2312" w:eastAsia="仿宋_GB2312" w:cs="仿宋_GB2312"/>
          <w:b w:val="0"/>
          <w:color w:val="000000"/>
          <w:sz w:val="32"/>
          <w:szCs w:val="32"/>
          <w:u w:val="none" w:color="auto"/>
        </w:rPr>
        <w:t>山东省枣庄市薛城区永福北路永福花苑门市房南至北数第4号</w:t>
      </w:r>
      <w:bookmarkEnd w:id="6"/>
      <w:r>
        <w:rPr>
          <w:rFonts w:hint="eastAsia" w:ascii="仿宋_GB2312" w:hAnsi="仿宋_GB2312" w:eastAsia="仿宋_GB2312" w:cs="仿宋_GB2312"/>
          <w:b w:val="0"/>
          <w:bCs/>
          <w:color w:val="000000"/>
          <w:kern w:val="1"/>
          <w:sz w:val="32"/>
          <w:szCs w:val="32"/>
          <w:u w:val="none" w:color="auto"/>
        </w:rPr>
        <w:t xml:space="preserve">                                      </w:t>
      </w:r>
      <w:r>
        <w:rPr>
          <w:rFonts w:hint="eastAsia" w:ascii="仿宋_GB2312" w:hAnsi="仿宋_GB2312" w:eastAsia="仿宋_GB2312" w:cs="仿宋_GB2312"/>
          <w:b w:val="0"/>
          <w:bCs/>
          <w:color w:val="000000"/>
          <w:kern w:val="1"/>
          <w:sz w:val="32"/>
          <w:szCs w:val="32"/>
          <w:u w:val="none" w:color="auto"/>
          <w:lang w:val="en-US" w:eastAsia="zh-CN"/>
        </w:rPr>
        <w:t xml:space="preserve"> </w:t>
      </w:r>
    </w:p>
    <w:p w14:paraId="6AC0878E">
      <w:pPr>
        <w:keepNext w:val="0"/>
        <w:keepLines w:val="0"/>
        <w:pageBreakBefore w:val="0"/>
        <w:widowControl w:val="0"/>
        <w:kinsoku/>
        <w:wordWrap/>
        <w:overflowPunct/>
        <w:topLinePunct w:val="0"/>
        <w:bidi w:val="0"/>
        <w:snapToGrid/>
        <w:spacing w:line="400" w:lineRule="exact"/>
        <w:ind w:left="140" w:hanging="140"/>
        <w:textAlignment w:val="auto"/>
        <w:rPr>
          <w:rFonts w:hint="eastAsia" w:ascii="仿宋_GB2312" w:hAnsi="仿宋_GB2312" w:eastAsia="仿宋_GB2312" w:cs="仿宋_GB2312"/>
          <w:b w:val="0"/>
          <w:bCs/>
          <w:color w:val="auto"/>
          <w:sz w:val="32"/>
          <w:szCs w:val="32"/>
          <w:u w:val="none" w:color="auto"/>
        </w:rPr>
      </w:pPr>
      <w:bookmarkStart w:id="14" w:name="_GoBack"/>
      <w:bookmarkEnd w:id="14"/>
      <w:r>
        <w:rPr>
          <w:rFonts w:hint="eastAsia" w:ascii="仿宋_GB2312" w:hAnsi="仿宋_GB2312" w:eastAsia="仿宋_GB2312" w:cs="仿宋_GB2312"/>
          <w:b w:val="0"/>
          <w:bCs/>
          <w:color w:val="000000"/>
          <w:kern w:val="1"/>
          <w:sz w:val="32"/>
          <w:szCs w:val="32"/>
          <w:u w:val="none" w:color="auto"/>
        </w:rPr>
        <w:t xml:space="preserve">                                   </w:t>
      </w:r>
    </w:p>
    <w:p w14:paraId="5ED544AD">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lang w:val="en-US" w:eastAsia="zh-CN"/>
        </w:rPr>
      </w:pPr>
      <w:bookmarkStart w:id="7" w:name="CALCULATE—AYHC—tAjHc_cHcqkjlaay"/>
      <w:r>
        <w:rPr>
          <w:rFonts w:hint="eastAsia" w:ascii="仿宋_GB2312" w:hAnsi="仿宋_GB2312" w:eastAsia="仿宋_GB2312" w:cs="仿宋_GB2312"/>
          <w:color w:val="000000"/>
          <w:sz w:val="32"/>
          <w:szCs w:val="32"/>
          <w:u w:val="none" w:color="auto"/>
        </w:rPr>
        <w:t>2026年6月10日，山东省市场监督管理局对当事人经营的纤维增强树脂钹形砂轮进行抽样检验，经检验，孔径项目不符合JB/T3715-2016《固结磨具 修磨用钹形砂轮》标准，依据《山东省砂轮产品质量监督抽查实施细则(2026年），判定为被抽查产品不合格；检验报告№：JLCJC20260017。2026年6月25日，我局执法人员向当事人送达了上述检验报告，并告知如对本检验结果有异议，可在收到检验报告之日起十五日内提出书面复检申请，逾期视为放弃该项权利。 现场检查发现上述不合格砂轮15个，依据《中华人民共和国产品质量法》第十八条第（四）项的规定，报经主管领导批准，予以扣押。</w:t>
      </w:r>
      <w:bookmarkEnd w:id="7"/>
      <w:bookmarkStart w:id="8" w:name="CALCULATE—QZCS—tAjqzcses_qzcsxx"/>
      <w:r>
        <w:rPr>
          <w:rFonts w:hint="eastAsia" w:ascii="仿宋_GB2312" w:hAnsi="仿宋_GB2312" w:eastAsia="仿宋_GB2312" w:cs="仿宋_GB2312"/>
          <w:color w:val="000000"/>
          <w:sz w:val="32"/>
          <w:szCs w:val="32"/>
          <w:u w:val="none" w:color="auto"/>
          <w:lang w:val="en-US" w:eastAsia="zh-CN"/>
        </w:rPr>
        <w:t>并于当日</w:t>
      </w:r>
      <w:r>
        <w:rPr>
          <w:rFonts w:hint="eastAsia" w:ascii="仿宋_GB2312" w:hAnsi="仿宋_GB2312" w:eastAsia="仿宋_GB2312" w:cs="仿宋_GB2312"/>
          <w:color w:val="000000"/>
          <w:sz w:val="32"/>
          <w:szCs w:val="32"/>
          <w:u w:val="none" w:color="auto"/>
        </w:rPr>
        <w:t>，经报请局领导</w:t>
      </w:r>
      <w:r>
        <w:rPr>
          <w:rFonts w:hint="eastAsia" w:ascii="仿宋_GB2312" w:hAnsi="仿宋_GB2312" w:eastAsia="仿宋_GB2312" w:cs="仿宋_GB2312"/>
          <w:color w:val="000000"/>
          <w:sz w:val="32"/>
          <w:szCs w:val="32"/>
          <w:u w:val="none" w:color="auto"/>
          <w:lang w:val="en-US" w:eastAsia="zh-CN"/>
        </w:rPr>
        <w:t>批准</w:t>
      </w:r>
      <w:r>
        <w:rPr>
          <w:rFonts w:hint="eastAsia" w:ascii="仿宋_GB2312" w:hAnsi="仿宋_GB2312" w:eastAsia="仿宋_GB2312" w:cs="仿宋_GB2312"/>
          <w:color w:val="000000"/>
          <w:sz w:val="32"/>
          <w:szCs w:val="32"/>
          <w:u w:val="none" w:color="auto"/>
        </w:rPr>
        <w:t>，</w:t>
      </w:r>
      <w:r>
        <w:rPr>
          <w:rFonts w:hint="eastAsia" w:ascii="仿宋_GB2312" w:hAnsi="仿宋_GB2312" w:eastAsia="仿宋_GB2312" w:cs="仿宋_GB2312"/>
          <w:color w:val="000000"/>
          <w:sz w:val="32"/>
          <w:szCs w:val="32"/>
          <w:u w:val="none" w:color="auto"/>
          <w:lang w:val="en-US" w:eastAsia="zh-CN"/>
        </w:rPr>
        <w:t>予以立案。</w:t>
      </w:r>
      <w:bookmarkEnd w:id="8"/>
    </w:p>
    <w:p w14:paraId="68CE0FA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rPr>
      </w:pPr>
      <w:bookmarkStart w:id="9" w:name="CALCULATE—AJCF—tAjCfes_cAjss"/>
      <w:r>
        <w:rPr>
          <w:rFonts w:hint="eastAsia" w:ascii="仿宋_GB2312" w:hAnsi="仿宋_GB2312" w:eastAsia="仿宋_GB2312" w:cs="仿宋_GB2312"/>
          <w:color w:val="000000"/>
          <w:sz w:val="32"/>
          <w:szCs w:val="32"/>
          <w:u w:val="none" w:color="auto"/>
        </w:rPr>
        <w:t>经调查，涉案砂轮系当事人从厂家中山市长昊磨具磨料有限公司直接购进，提供了厂家营业执照和 购进票据复印件。涉案砂轮购进了25片，购进价格1.20元/片，销售了10片，销售价格1.60元/片，剩下的15片（含备样10片）被扣押，</w:t>
      </w:r>
      <w:r>
        <w:rPr>
          <w:rFonts w:hint="eastAsia" w:ascii="仿宋_GB2312" w:hAnsi="仿宋_GB2312" w:eastAsia="仿宋_GB2312" w:cs="仿宋_GB2312"/>
          <w:color w:val="000000"/>
          <w:sz w:val="32"/>
          <w:szCs w:val="32"/>
          <w:u w:val="none" w:color="auto"/>
          <w:lang w:val="en-US" w:eastAsia="zh-CN"/>
        </w:rPr>
        <w:t>未对外销售，</w:t>
      </w:r>
      <w:r>
        <w:rPr>
          <w:rFonts w:hint="eastAsia" w:ascii="仿宋_GB2312" w:hAnsi="仿宋_GB2312" w:eastAsia="仿宋_GB2312" w:cs="仿宋_GB2312"/>
          <w:color w:val="000000"/>
          <w:sz w:val="32"/>
          <w:szCs w:val="32"/>
          <w:u w:val="none" w:color="auto"/>
        </w:rPr>
        <w:t>货值共计40.00元，获利4.00元。</w:t>
      </w:r>
    </w:p>
    <w:bookmarkEnd w:id="9"/>
    <w:p w14:paraId="512F0D77">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上述事实，主要有以下证据证明：</w:t>
      </w:r>
    </w:p>
    <w:p w14:paraId="52EAD57D">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rPr>
      </w:pPr>
      <w:r>
        <w:rPr>
          <w:rFonts w:hint="eastAsia" w:ascii="仿宋_GB2312" w:hAnsi="仿宋_GB2312" w:eastAsia="仿宋_GB2312" w:cs="仿宋_GB2312"/>
          <w:color w:val="000000"/>
          <w:sz w:val="32"/>
          <w:szCs w:val="32"/>
          <w:u w:val="none" w:color="auto"/>
          <w:lang w:val="en-US" w:eastAsia="zh-CN"/>
        </w:rPr>
        <w:t>1、《营业执照》复印件1份，证明当事人具有合法主体资格。</w:t>
      </w:r>
    </w:p>
    <w:p w14:paraId="0B1890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lang w:eastAsia="zh-CN"/>
        </w:rPr>
      </w:pPr>
      <w:r>
        <w:rPr>
          <w:rFonts w:hint="eastAsia" w:ascii="仿宋_GB2312" w:hAnsi="仿宋_GB2312" w:eastAsia="仿宋_GB2312" w:cs="仿宋_GB2312"/>
          <w:color w:val="000000"/>
          <w:sz w:val="32"/>
          <w:szCs w:val="32"/>
          <w:u w:val="none" w:color="auto"/>
          <w:lang w:val="en-US" w:eastAsia="zh-CN"/>
        </w:rPr>
        <w:t>2、张士峰</w:t>
      </w:r>
      <w:r>
        <w:rPr>
          <w:rFonts w:hint="eastAsia" w:ascii="仿宋_GB2312" w:hAnsi="仿宋_GB2312" w:eastAsia="仿宋_GB2312" w:cs="仿宋_GB2312"/>
          <w:color w:val="000000"/>
          <w:sz w:val="32"/>
          <w:szCs w:val="32"/>
          <w:u w:val="none" w:color="auto"/>
          <w:lang w:eastAsia="zh-CN"/>
        </w:rPr>
        <w:t>身份证</w:t>
      </w:r>
      <w:r>
        <w:rPr>
          <w:rFonts w:hint="eastAsia" w:ascii="仿宋_GB2312" w:hAnsi="仿宋_GB2312" w:eastAsia="仿宋_GB2312" w:cs="仿宋_GB2312"/>
          <w:color w:val="000000"/>
          <w:sz w:val="32"/>
          <w:szCs w:val="32"/>
          <w:u w:val="none" w:color="auto"/>
          <w:lang w:val="en-US" w:eastAsia="zh-CN"/>
        </w:rPr>
        <w:t>复印件1份，证明了被调查人</w:t>
      </w:r>
      <w:r>
        <w:rPr>
          <w:rFonts w:hint="eastAsia" w:ascii="仿宋_GB2312" w:hAnsi="仿宋_GB2312" w:eastAsia="仿宋_GB2312" w:cs="仿宋_GB2312"/>
          <w:color w:val="000000"/>
          <w:sz w:val="32"/>
          <w:szCs w:val="32"/>
          <w:u w:val="none" w:color="auto"/>
        </w:rPr>
        <w:t>身份信息</w:t>
      </w:r>
      <w:r>
        <w:rPr>
          <w:rFonts w:hint="eastAsia" w:ascii="仿宋_GB2312" w:hAnsi="仿宋_GB2312" w:eastAsia="仿宋_GB2312" w:cs="仿宋_GB2312"/>
          <w:color w:val="000000"/>
          <w:sz w:val="32"/>
          <w:szCs w:val="32"/>
          <w:u w:val="none" w:color="auto"/>
          <w:lang w:eastAsia="zh-CN"/>
        </w:rPr>
        <w:t>。</w:t>
      </w:r>
    </w:p>
    <w:p w14:paraId="272614C1">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3、《现场笔录》、检验结果通知书各1份，证明检验报告送达及现场情况情况。</w:t>
      </w:r>
    </w:p>
    <w:p w14:paraId="1BB3EC36">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4、《检验报告》1份，证明当事人销售的砂轮经检验不合格。</w:t>
      </w:r>
    </w:p>
    <w:p w14:paraId="63FCCC46">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5、《询问笔录》、供货商营业执照、购进票据复印件各1份，证明了涉案产品的购进销售情况。</w:t>
      </w:r>
    </w:p>
    <w:p w14:paraId="10309A2A">
      <w:pPr>
        <w:keepNext w:val="0"/>
        <w:keepLines w:val="0"/>
        <w:pageBreakBefore w:val="0"/>
        <w:widowControl w:val="0"/>
        <w:kinsoku/>
        <w:wordWrap/>
        <w:overflowPunct/>
        <w:topLinePunct w:val="0"/>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lang w:eastAsia="zh-CN"/>
        </w:rPr>
      </w:pPr>
      <w:r>
        <w:rPr>
          <w:rFonts w:hint="eastAsia" w:ascii="仿宋_GB2312" w:hAnsi="仿宋_GB2312" w:eastAsia="仿宋_GB2312" w:cs="仿宋_GB2312"/>
          <w:color w:val="000000"/>
          <w:sz w:val="32"/>
          <w:szCs w:val="32"/>
          <w:u w:val="none" w:color="auto"/>
        </w:rPr>
        <w:t>本局于20</w:t>
      </w:r>
      <w:r>
        <w:rPr>
          <w:rFonts w:hint="eastAsia" w:ascii="仿宋_GB2312" w:hAnsi="仿宋_GB2312" w:eastAsia="仿宋_GB2312" w:cs="仿宋_GB2312"/>
          <w:color w:val="000000"/>
          <w:sz w:val="32"/>
          <w:szCs w:val="32"/>
          <w:u w:val="none" w:color="auto"/>
          <w:lang w:val="en-US" w:eastAsia="zh-CN"/>
        </w:rPr>
        <w:t>26</w:t>
      </w:r>
      <w:r>
        <w:rPr>
          <w:rFonts w:hint="eastAsia" w:ascii="仿宋_GB2312" w:hAnsi="仿宋_GB2312" w:eastAsia="仿宋_GB2312" w:cs="仿宋_GB2312"/>
          <w:color w:val="000000"/>
          <w:sz w:val="32"/>
          <w:szCs w:val="32"/>
          <w:u w:val="none" w:color="auto"/>
        </w:rPr>
        <w:t>年</w:t>
      </w:r>
      <w:r>
        <w:rPr>
          <w:rFonts w:hint="eastAsia" w:ascii="仿宋_GB2312" w:hAnsi="仿宋_GB2312" w:eastAsia="仿宋_GB2312" w:cs="仿宋_GB2312"/>
          <w:color w:val="000000"/>
          <w:sz w:val="32"/>
          <w:szCs w:val="32"/>
          <w:u w:val="none" w:color="auto"/>
          <w:lang w:val="en-US" w:eastAsia="zh-CN"/>
        </w:rPr>
        <w:t>7</w:t>
      </w:r>
      <w:r>
        <w:rPr>
          <w:rFonts w:hint="eastAsia" w:ascii="仿宋_GB2312" w:hAnsi="仿宋_GB2312" w:eastAsia="仿宋_GB2312" w:cs="仿宋_GB2312"/>
          <w:color w:val="000000"/>
          <w:sz w:val="32"/>
          <w:szCs w:val="32"/>
          <w:u w:val="none" w:color="auto"/>
        </w:rPr>
        <w:t>月</w:t>
      </w:r>
      <w:r>
        <w:rPr>
          <w:rFonts w:hint="eastAsia" w:ascii="仿宋_GB2312" w:hAnsi="仿宋_GB2312" w:eastAsia="仿宋_GB2312" w:cs="仿宋_GB2312"/>
          <w:color w:val="000000"/>
          <w:sz w:val="32"/>
          <w:szCs w:val="32"/>
          <w:u w:val="none" w:color="auto"/>
          <w:lang w:val="en-US" w:eastAsia="zh-CN"/>
        </w:rPr>
        <w:t>16</w:t>
      </w:r>
      <w:r>
        <w:rPr>
          <w:rFonts w:hint="eastAsia" w:ascii="仿宋_GB2312" w:hAnsi="仿宋_GB2312" w:eastAsia="仿宋_GB2312" w:cs="仿宋_GB2312"/>
          <w:color w:val="000000"/>
          <w:sz w:val="32"/>
          <w:szCs w:val="32"/>
          <w:u w:val="none" w:color="auto"/>
        </w:rPr>
        <w:t>日下达《行政处罚告知书》，</w:t>
      </w:r>
      <w:r>
        <w:rPr>
          <w:rFonts w:hint="eastAsia" w:ascii="仿宋_GB2312" w:hAnsi="仿宋_GB2312" w:eastAsia="仿宋_GB2312" w:cs="仿宋_GB2312"/>
          <w:color w:val="000000"/>
          <w:sz w:val="32"/>
          <w:szCs w:val="32"/>
          <w:u w:val="none" w:color="auto"/>
          <w:lang w:eastAsia="zh-CN"/>
        </w:rPr>
        <w:t>告知当事人拟作出行政处罚的事实、理由、依据和处罚内容，告知当事人依法享有陈述、申辩的权利。</w:t>
      </w:r>
      <w:r>
        <w:rPr>
          <w:rFonts w:hint="eastAsia" w:ascii="仿宋_GB2312" w:hAnsi="仿宋_GB2312" w:eastAsia="仿宋_GB2312" w:cs="仿宋_GB2312"/>
          <w:color w:val="000000"/>
          <w:sz w:val="32"/>
          <w:szCs w:val="32"/>
          <w:u w:val="none" w:color="auto"/>
        </w:rPr>
        <w:t>在规定时间内</w:t>
      </w:r>
      <w:r>
        <w:rPr>
          <w:rFonts w:hint="eastAsia" w:ascii="仿宋_GB2312" w:hAnsi="仿宋_GB2312" w:eastAsia="仿宋_GB2312" w:cs="仿宋_GB2312"/>
          <w:color w:val="000000"/>
          <w:sz w:val="32"/>
          <w:szCs w:val="32"/>
          <w:u w:val="none" w:color="auto"/>
          <w:lang w:eastAsia="zh-CN"/>
        </w:rPr>
        <w:t>当事人</w:t>
      </w:r>
      <w:r>
        <w:rPr>
          <w:rFonts w:hint="eastAsia" w:ascii="仿宋_GB2312" w:hAnsi="仿宋_GB2312" w:eastAsia="仿宋_GB2312" w:cs="仿宋_GB2312"/>
          <w:color w:val="000000"/>
          <w:sz w:val="32"/>
          <w:szCs w:val="32"/>
          <w:u w:val="none" w:color="auto"/>
        </w:rPr>
        <w:t>没有</w:t>
      </w:r>
      <w:r>
        <w:rPr>
          <w:rFonts w:hint="eastAsia" w:ascii="仿宋_GB2312" w:hAnsi="仿宋_GB2312" w:eastAsia="仿宋_GB2312" w:cs="仿宋_GB2312"/>
          <w:color w:val="000000"/>
          <w:sz w:val="32"/>
          <w:szCs w:val="32"/>
          <w:u w:val="none" w:color="auto"/>
          <w:lang w:eastAsia="zh-CN"/>
        </w:rPr>
        <w:t>提出</w:t>
      </w:r>
      <w:r>
        <w:rPr>
          <w:rFonts w:hint="eastAsia" w:ascii="仿宋_GB2312" w:hAnsi="仿宋_GB2312" w:eastAsia="仿宋_GB2312" w:cs="仿宋_GB2312"/>
          <w:color w:val="000000"/>
          <w:sz w:val="32"/>
          <w:szCs w:val="32"/>
          <w:u w:val="none" w:color="auto"/>
        </w:rPr>
        <w:t>陈述、申辩</w:t>
      </w:r>
      <w:r>
        <w:rPr>
          <w:rFonts w:hint="eastAsia" w:ascii="仿宋_GB2312" w:hAnsi="仿宋_GB2312" w:eastAsia="仿宋_GB2312" w:cs="仿宋_GB2312"/>
          <w:color w:val="000000"/>
          <w:sz w:val="32"/>
          <w:szCs w:val="32"/>
          <w:u w:val="none" w:color="auto"/>
          <w:lang w:eastAsia="zh-CN"/>
        </w:rPr>
        <w:t>意见</w:t>
      </w:r>
      <w:r>
        <w:rPr>
          <w:rFonts w:hint="eastAsia" w:ascii="仿宋_GB2312" w:hAnsi="仿宋_GB2312" w:eastAsia="仿宋_GB2312" w:cs="仿宋_GB2312"/>
          <w:color w:val="000000"/>
          <w:sz w:val="32"/>
          <w:szCs w:val="32"/>
          <w:u w:val="none" w:color="auto"/>
        </w:rPr>
        <w:t>，</w:t>
      </w:r>
      <w:r>
        <w:rPr>
          <w:rFonts w:hint="eastAsia" w:ascii="仿宋_GB2312" w:hAnsi="仿宋_GB2312" w:eastAsia="仿宋_GB2312" w:cs="仿宋_GB2312"/>
          <w:color w:val="000000"/>
          <w:sz w:val="32"/>
          <w:szCs w:val="32"/>
          <w:u w:val="none" w:color="auto"/>
          <w:lang w:eastAsia="zh-CN"/>
        </w:rPr>
        <w:t>视为放弃该权利。</w:t>
      </w:r>
    </w:p>
    <w:p w14:paraId="3A2AFC3F">
      <w:pPr>
        <w:pStyle w:val="3"/>
        <w:keepNext w:val="0"/>
        <w:keepLines w:val="0"/>
        <w:pageBreakBefore w:val="0"/>
        <w:widowControl w:val="0"/>
        <w:tabs>
          <w:tab w:val="left" w:pos="8405"/>
        </w:tabs>
        <w:kinsoku/>
        <w:wordWrap/>
        <w:overflowPunct/>
        <w:topLinePunct w:val="0"/>
        <w:bidi w:val="0"/>
        <w:snapToGrid/>
        <w:spacing w:line="400" w:lineRule="exact"/>
        <w:ind w:firstLine="640" w:firstLineChars="200"/>
        <w:textAlignment w:val="auto"/>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1"/>
          <w:sz w:val="32"/>
          <w:szCs w:val="32"/>
          <w:u w:val="none" w:color="auto"/>
        </w:rPr>
        <w:t>本局认为，</w:t>
      </w:r>
      <w:bookmarkStart w:id="10" w:name="CALCULATE—WFFLFGXX—tAjCfes_cWfflfg—1"/>
      <w:r>
        <w:rPr>
          <w:rFonts w:hint="eastAsia" w:ascii="仿宋_GB2312" w:hAnsi="仿宋_GB2312" w:eastAsia="仿宋_GB2312" w:cs="仿宋_GB2312"/>
          <w:color w:val="000000"/>
          <w:sz w:val="32"/>
          <w:szCs w:val="32"/>
          <w:u w:val="none" w:color="auto"/>
        </w:rPr>
        <w:t>当事人销售不合格钹形砂轮</w:t>
      </w:r>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lang w:val="en-US" w:eastAsia="zh-CN"/>
        </w:rPr>
        <w:t>违反了</w:t>
      </w:r>
      <w:r>
        <w:rPr>
          <w:rFonts w:hint="eastAsia" w:ascii="仿宋_GB2312" w:hAnsi="仿宋_GB2312" w:eastAsia="仿宋_GB2312" w:cs="仿宋_GB2312"/>
          <w:color w:val="000000"/>
          <w:sz w:val="32"/>
          <w:szCs w:val="32"/>
          <w:u w:val="none" w:color="auto"/>
        </w:rPr>
        <w:t>《中华人民共和国产品质量法》第三十九条</w:t>
      </w:r>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rPr>
        <w:t>销售者销售产品，不得掺杂、掺假，不得以假充真、以次充好，不得以不合格产品冒充合格产品。</w:t>
      </w:r>
      <w:bookmarkEnd w:id="10"/>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lang w:val="en-US" w:eastAsia="zh-CN"/>
        </w:rPr>
        <w:t>的规定。</w:t>
      </w:r>
      <w:bookmarkStart w:id="11" w:name="CALCULATE—WFFLFGXX—tAjCfes_cCfyj"/>
      <w:r>
        <w:rPr>
          <w:rFonts w:hint="eastAsia" w:ascii="仿宋_GB2312" w:hAnsi="仿宋_GB2312" w:eastAsia="仿宋_GB2312" w:cs="仿宋_GB2312"/>
          <w:bCs/>
          <w:color w:val="000000"/>
          <w:sz w:val="32"/>
          <w:szCs w:val="32"/>
          <w:u w:val="none" w:color="auto"/>
          <w:lang w:val="en-US" w:eastAsia="zh-CN"/>
        </w:rPr>
        <w:t>依据</w:t>
      </w:r>
      <w:r>
        <w:rPr>
          <w:rFonts w:hint="eastAsia" w:ascii="仿宋_GB2312" w:hAnsi="仿宋_GB2312" w:eastAsia="仿宋_GB2312" w:cs="仿宋_GB2312"/>
          <w:color w:val="000000"/>
          <w:sz w:val="32"/>
          <w:szCs w:val="32"/>
          <w:u w:val="none" w:color="auto"/>
        </w:rPr>
        <w:t>《中华人民共和国产品质量法》第五十条</w:t>
      </w:r>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rPr>
        <w:t>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bookmarkEnd w:id="11"/>
      <w:r>
        <w:rPr>
          <w:rFonts w:hint="eastAsia" w:ascii="仿宋_GB2312" w:hAnsi="仿宋_GB2312" w:eastAsia="仿宋_GB2312" w:cs="仿宋_GB2312"/>
          <w:color w:val="000000"/>
          <w:sz w:val="32"/>
          <w:szCs w:val="32"/>
          <w:u w:val="none" w:color="auto"/>
          <w:lang w:eastAsia="zh-CN"/>
        </w:rPr>
        <w:t>”</w:t>
      </w:r>
      <w:r>
        <w:rPr>
          <w:rFonts w:hint="eastAsia" w:ascii="仿宋_GB2312" w:hAnsi="仿宋_GB2312" w:eastAsia="仿宋_GB2312" w:cs="仿宋_GB2312"/>
          <w:color w:val="000000"/>
          <w:sz w:val="32"/>
          <w:szCs w:val="32"/>
          <w:u w:val="none" w:color="auto"/>
        </w:rPr>
        <w:t>的规定</w:t>
      </w:r>
      <w:r>
        <w:rPr>
          <w:rFonts w:hint="eastAsia" w:ascii="仿宋_GB2312" w:hAnsi="仿宋_GB2312" w:eastAsia="仿宋_GB2312" w:cs="仿宋_GB2312"/>
          <w:color w:val="000000"/>
          <w:sz w:val="32"/>
          <w:szCs w:val="32"/>
          <w:u w:val="none" w:color="auto"/>
          <w:lang w:val="en-US" w:eastAsia="zh-CN"/>
        </w:rPr>
        <w:t>处罚。</w:t>
      </w:r>
      <w:r>
        <w:rPr>
          <w:rFonts w:hint="eastAsia" w:ascii="仿宋_GB2312" w:hAnsi="仿宋_GB2312" w:eastAsia="仿宋_GB2312" w:cs="仿宋_GB2312"/>
          <w:color w:val="000000"/>
          <w:sz w:val="32"/>
          <w:szCs w:val="32"/>
          <w:u w:val="none" w:color="auto"/>
        </w:rPr>
        <w:t xml:space="preserve"> </w:t>
      </w:r>
      <w:r>
        <w:rPr>
          <w:rFonts w:hint="eastAsia" w:ascii="仿宋_GB2312" w:hAnsi="仿宋_GB2312" w:eastAsia="仿宋_GB2312" w:cs="仿宋_GB2312"/>
          <w:b w:val="0"/>
          <w:bCs/>
          <w:color w:val="000000"/>
          <w:kern w:val="1"/>
          <w:sz w:val="32"/>
          <w:szCs w:val="32"/>
          <w:u w:val="none" w:color="auto"/>
          <w:lang w:val="en-US" w:eastAsia="zh-CN"/>
        </w:rPr>
        <w:t xml:space="preserve">    </w:t>
      </w:r>
      <w:r>
        <w:rPr>
          <w:rFonts w:hint="eastAsia" w:ascii="仿宋_GB2312" w:hAnsi="仿宋_GB2312" w:eastAsia="仿宋_GB2312" w:cs="仿宋_GB2312"/>
          <w:b w:val="0"/>
          <w:bCs/>
          <w:color w:val="000000"/>
          <w:sz w:val="32"/>
          <w:szCs w:val="32"/>
          <w:u w:val="none" w:color="auto"/>
          <w:lang w:val="en-US" w:eastAsia="zh-CN"/>
        </w:rPr>
        <w:t xml:space="preserve">                    </w:t>
      </w:r>
      <w:r>
        <w:rPr>
          <w:rFonts w:hint="eastAsia" w:ascii="仿宋_GB2312" w:hAnsi="仿宋_GB2312" w:eastAsia="仿宋_GB2312" w:cs="仿宋_GB2312"/>
          <w:b w:val="0"/>
          <w:bCs/>
          <w:color w:val="000000"/>
          <w:sz w:val="32"/>
          <w:szCs w:val="32"/>
          <w:u w:val="none" w:color="auto"/>
          <w:lang w:eastAsia="zh-CN"/>
        </w:rPr>
        <w:t xml:space="preserve">        </w:t>
      </w:r>
    </w:p>
    <w:p w14:paraId="326A4FED">
      <w:pPr>
        <w:pStyle w:val="3"/>
        <w:keepNext w:val="0"/>
        <w:keepLines w:val="0"/>
        <w:pageBreakBefore w:val="0"/>
        <w:widowControl w:val="0"/>
        <w:kinsoku/>
        <w:wordWrap/>
        <w:overflowPunct/>
        <w:topLinePunct w:val="0"/>
        <w:bidi w:val="0"/>
        <w:snapToGrid/>
        <w:spacing w:line="400" w:lineRule="exact"/>
        <w:textAlignment w:val="auto"/>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Cs/>
          <w:color w:val="000000"/>
          <w:sz w:val="32"/>
          <w:szCs w:val="32"/>
          <w:u w:val="none" w:color="auto"/>
        </w:rPr>
        <w:t xml:space="preserve"> </w:t>
      </w:r>
      <w:r>
        <w:rPr>
          <w:rFonts w:hint="eastAsia" w:ascii="仿宋_GB2312" w:hAnsi="仿宋_GB2312" w:eastAsia="仿宋_GB2312" w:cs="仿宋_GB2312"/>
          <w:bCs/>
          <w:color w:val="000000"/>
          <w:sz w:val="32"/>
          <w:szCs w:val="32"/>
          <w:u w:val="none" w:color="auto"/>
          <w:lang w:val="en-US" w:eastAsia="zh-CN"/>
        </w:rPr>
        <w:t xml:space="preserve">   当事人积极配合调查，涉案产品除抽检外未对外售出，参照《</w:t>
      </w:r>
      <w:r>
        <w:rPr>
          <w:rFonts w:hint="eastAsia" w:ascii="仿宋_GB2312" w:hAnsi="仿宋_GB2312" w:eastAsia="仿宋_GB2312" w:cs="仿宋_GB2312"/>
          <w:color w:val="000000"/>
          <w:sz w:val="32"/>
          <w:szCs w:val="32"/>
          <w:u w:val="none" w:color="auto"/>
          <w:lang w:val="en-US" w:eastAsia="zh-CN"/>
        </w:rPr>
        <w:t>山东省市场监督管理行政处罚裁量基准</w:t>
      </w:r>
      <w:r>
        <w:rPr>
          <w:rFonts w:hint="eastAsia" w:ascii="仿宋_GB2312" w:hAnsi="仿宋_GB2312" w:eastAsia="仿宋_GB2312" w:cs="仿宋_GB2312"/>
          <w:bCs/>
          <w:color w:val="000000"/>
          <w:sz w:val="32"/>
          <w:szCs w:val="32"/>
          <w:u w:val="none" w:color="auto"/>
          <w:lang w:val="en-US" w:eastAsia="zh-CN"/>
        </w:rPr>
        <w:t>》八、二、（二）1、【较轻】标准的规定，决定给予当事人从轻处罚。</w:t>
      </w:r>
      <w:r>
        <w:rPr>
          <w:rFonts w:hint="eastAsia" w:ascii="仿宋_GB2312" w:hAnsi="仿宋_GB2312" w:eastAsia="仿宋_GB2312" w:cs="仿宋_GB2312"/>
          <w:bCs/>
          <w:color w:val="000000"/>
          <w:sz w:val="32"/>
          <w:szCs w:val="32"/>
          <w:u w:val="none" w:color="auto"/>
        </w:rPr>
        <w:t xml:space="preserve">       </w:t>
      </w:r>
      <w:r>
        <w:rPr>
          <w:rFonts w:hint="eastAsia" w:ascii="仿宋_GB2312" w:hAnsi="仿宋_GB2312" w:eastAsia="仿宋_GB2312" w:cs="仿宋_GB2312"/>
          <w:b w:val="0"/>
          <w:bCs/>
          <w:color w:val="000000"/>
          <w:sz w:val="32"/>
          <w:szCs w:val="32"/>
          <w:u w:val="none" w:color="auto"/>
          <w:lang w:val="en-US" w:eastAsia="zh-CN"/>
        </w:rPr>
        <w:t xml:space="preserve">                   </w:t>
      </w:r>
      <w:r>
        <w:rPr>
          <w:rFonts w:hint="eastAsia" w:ascii="仿宋_GB2312" w:hAnsi="仿宋_GB2312" w:eastAsia="仿宋_GB2312" w:cs="仿宋_GB2312"/>
          <w:b w:val="0"/>
          <w:bCs/>
          <w:color w:val="000000"/>
          <w:sz w:val="32"/>
          <w:szCs w:val="32"/>
          <w:u w:val="none" w:color="auto"/>
        </w:rPr>
        <w:t xml:space="preserve">                   </w:t>
      </w:r>
    </w:p>
    <w:p w14:paraId="6D58CFB0">
      <w:pPr>
        <w:pStyle w:val="3"/>
        <w:keepNext w:val="0"/>
        <w:keepLines w:val="0"/>
        <w:pageBreakBefore w:val="0"/>
        <w:widowControl w:val="0"/>
        <w:tabs>
          <w:tab w:val="left" w:pos="9060"/>
        </w:tabs>
        <w:kinsoku/>
        <w:wordWrap/>
        <w:overflowPunct/>
        <w:topLinePunct w:val="0"/>
        <w:bidi w:val="0"/>
        <w:snapToGrid/>
        <w:spacing w:line="400" w:lineRule="exact"/>
        <w:ind w:firstLine="640" w:firstLineChars="200"/>
        <w:textAlignment w:val="auto"/>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综上，当事人上述行为违反了</w:t>
      </w:r>
      <w:r>
        <w:rPr>
          <w:rFonts w:hint="eastAsia" w:ascii="仿宋_GB2312" w:hAnsi="仿宋_GB2312" w:eastAsia="仿宋_GB2312" w:cs="仿宋_GB2312"/>
          <w:color w:val="000000"/>
          <w:sz w:val="32"/>
          <w:szCs w:val="32"/>
          <w:u w:val="none" w:color="auto"/>
        </w:rPr>
        <w:t>《中华人民共和国产品质量法》第三十九条</w:t>
      </w:r>
      <w:r>
        <w:rPr>
          <w:rFonts w:hint="eastAsia" w:ascii="仿宋_GB2312" w:hAnsi="仿宋_GB2312" w:eastAsia="仿宋_GB2312" w:cs="仿宋_GB2312"/>
          <w:b w:val="0"/>
          <w:bCs/>
          <w:color w:val="000000"/>
          <w:sz w:val="32"/>
          <w:szCs w:val="32"/>
          <w:u w:val="none" w:color="auto"/>
          <w:lang w:eastAsia="zh-CN"/>
        </w:rPr>
        <w:t>，</w:t>
      </w:r>
      <w:r>
        <w:rPr>
          <w:rFonts w:hint="eastAsia" w:ascii="仿宋_GB2312" w:hAnsi="仿宋_GB2312" w:eastAsia="仿宋_GB2312" w:cs="仿宋_GB2312"/>
          <w:b w:val="0"/>
          <w:bCs/>
          <w:color w:val="000000"/>
          <w:kern w:val="1"/>
          <w:sz w:val="32"/>
          <w:szCs w:val="32"/>
          <w:u w:val="none" w:color="auto"/>
        </w:rPr>
        <w:t>依</w:t>
      </w:r>
      <w:r>
        <w:rPr>
          <w:rFonts w:hint="eastAsia" w:ascii="仿宋_GB2312" w:hAnsi="仿宋_GB2312" w:eastAsia="仿宋_GB2312" w:cs="仿宋_GB2312"/>
          <w:b w:val="0"/>
          <w:bCs/>
          <w:color w:val="000000"/>
          <w:kern w:val="1"/>
          <w:sz w:val="32"/>
          <w:szCs w:val="32"/>
          <w:u w:val="none" w:color="auto"/>
          <w:lang w:val="en-US" w:eastAsia="zh-Hans"/>
        </w:rPr>
        <w:t>据</w:t>
      </w:r>
      <w:r>
        <w:rPr>
          <w:rFonts w:hint="eastAsia" w:ascii="仿宋_GB2312" w:hAnsi="仿宋_GB2312" w:eastAsia="仿宋_GB2312" w:cs="仿宋_GB2312"/>
          <w:color w:val="000000"/>
          <w:sz w:val="32"/>
          <w:szCs w:val="32"/>
          <w:u w:val="none" w:color="auto"/>
        </w:rPr>
        <w:t>《中华人民共和国产品质量法》第五十条</w:t>
      </w:r>
      <w:r>
        <w:rPr>
          <w:rFonts w:hint="eastAsia" w:ascii="仿宋_GB2312" w:hAnsi="仿宋_GB2312" w:eastAsia="仿宋_GB2312" w:cs="仿宋_GB2312"/>
          <w:color w:val="000000"/>
          <w:sz w:val="32"/>
          <w:szCs w:val="32"/>
          <w:u w:val="none" w:color="auto"/>
          <w:lang w:val="en-US" w:eastAsia="zh-CN"/>
        </w:rPr>
        <w:t>的规定进行处罚。</w:t>
      </w:r>
      <w:r>
        <w:rPr>
          <w:rFonts w:hint="eastAsia" w:ascii="仿宋_GB2312" w:hAnsi="仿宋_GB2312" w:eastAsia="仿宋_GB2312" w:cs="仿宋_GB2312"/>
          <w:b w:val="0"/>
          <w:bCs/>
          <w:color w:val="000000"/>
          <w:kern w:val="1"/>
          <w:sz w:val="32"/>
          <w:szCs w:val="32"/>
          <w:u w:val="none" w:color="auto"/>
        </w:rPr>
        <w:t xml:space="preserve"> </w:t>
      </w:r>
      <w:r>
        <w:rPr>
          <w:rFonts w:hint="eastAsia" w:ascii="仿宋_GB2312" w:hAnsi="仿宋_GB2312" w:eastAsia="仿宋_GB2312" w:cs="仿宋_GB2312"/>
          <w:color w:val="000000"/>
          <w:sz w:val="32"/>
          <w:szCs w:val="32"/>
          <w:u w:val="none" w:color="auto"/>
        </w:rPr>
        <w:t>同时依据《中华人民共和国行政处罚法》第二十八条“行政机关实施行政处罚时，应当责令当事人改正或者限期改正违法行为”的规定</w:t>
      </w:r>
      <w:r>
        <w:rPr>
          <w:rFonts w:hint="eastAsia" w:ascii="仿宋_GB2312" w:hAnsi="仿宋_GB2312" w:eastAsia="仿宋_GB2312" w:cs="仿宋_GB2312"/>
          <w:b w:val="0"/>
          <w:bCs/>
          <w:color w:val="000000"/>
          <w:kern w:val="1"/>
          <w:sz w:val="32"/>
          <w:szCs w:val="32"/>
          <w:u w:val="none" w:color="auto"/>
        </w:rPr>
        <w:t>，现责令当事人改正上述违法行为，并决定处罚如下：</w:t>
      </w:r>
    </w:p>
    <w:p w14:paraId="33A163F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color="auto"/>
        </w:rPr>
      </w:pPr>
      <w:r>
        <w:rPr>
          <w:rFonts w:hint="eastAsia" w:ascii="仿宋_GB2312" w:hAnsi="仿宋_GB2312" w:eastAsia="仿宋_GB2312" w:cs="仿宋_GB2312"/>
          <w:color w:val="000000"/>
          <w:sz w:val="32"/>
          <w:szCs w:val="32"/>
          <w:u w:val="none" w:color="auto"/>
        </w:rPr>
        <w:t>没收不合格砂轮15片；</w:t>
      </w:r>
    </w:p>
    <w:p w14:paraId="0B6C0B9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640" w:firstLineChars="200"/>
        <w:textAlignment w:val="auto"/>
        <w:rPr>
          <w:rFonts w:hint="eastAsia" w:ascii="仿宋_GB2312" w:hAnsi="仿宋_GB2312" w:eastAsia="仿宋_GB2312" w:cs="仿宋_GB2312"/>
          <w:sz w:val="32"/>
          <w:szCs w:val="32"/>
          <w:u w:val="none" w:color="auto"/>
        </w:rPr>
      </w:pPr>
      <w:r>
        <w:rPr>
          <w:rFonts w:hint="eastAsia" w:ascii="仿宋_GB2312" w:hAnsi="仿宋_GB2312" w:eastAsia="仿宋_GB2312" w:cs="仿宋_GB2312"/>
          <w:color w:val="000000"/>
          <w:sz w:val="32"/>
          <w:szCs w:val="32"/>
          <w:u w:val="none" w:color="auto"/>
        </w:rPr>
        <w:t>没收违法所得肆元整（¥4.00）；</w:t>
      </w:r>
    </w:p>
    <w:p w14:paraId="0CFDA63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ascii="Times New Roman" w:eastAsia="仿宋_GB2312" w:cs="仿宋_GB2312"/>
          <w:b w:val="0"/>
          <w:bCs/>
          <w:color w:val="auto"/>
          <w:u w:val="single"/>
        </w:rPr>
      </w:pPr>
      <w:r>
        <w:rPr>
          <w:rFonts w:hint="eastAsia" w:ascii="仿宋_GB2312" w:hAnsi="仿宋_GB2312" w:eastAsia="仿宋_GB2312" w:cs="仿宋_GB2312"/>
          <w:color w:val="000000"/>
          <w:sz w:val="32"/>
          <w:szCs w:val="32"/>
          <w:u w:val="none" w:color="auto"/>
        </w:rPr>
        <w:t xml:space="preserve">3.罚款人民币叁拾元整（¥30.00）。   </w:t>
      </w:r>
    </w:p>
    <w:p w14:paraId="78A9D5DF">
      <w:pPr>
        <w:pStyle w:val="3"/>
        <w:keepNext w:val="0"/>
        <w:keepLines w:val="0"/>
        <w:pageBreakBefore w:val="0"/>
        <w:widowControl w:val="0"/>
        <w:numPr>
          <w:ilvl w:val="0"/>
          <w:numId w:val="0"/>
        </w:numPr>
        <w:tabs>
          <w:tab w:val="left" w:pos="9060"/>
        </w:tabs>
        <w:kinsoku/>
        <w:overflowPunct/>
        <w:topLinePunct w:val="0"/>
        <w:bidi w:val="0"/>
        <w:snapToGrid/>
        <w:spacing w:line="440" w:lineRule="exact"/>
        <w:ind w:firstLine="640" w:firstLineChars="200"/>
        <w:textAlignment w:val="auto"/>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2"/>
          <w:sz w:val="32"/>
          <w:szCs w:val="32"/>
          <w:u w:val="none" w:color="auto"/>
          <w:lang w:val="en-US" w:eastAsia="zh-CN" w:bidi="ar-SA"/>
        </w:rPr>
        <w:t>当事人应当自收到本行政处罚决定之日起十五日内，缴纳罚款，到期不缴纳罚款的，依据《中华人民共和国行政处罚法》第</w:t>
      </w:r>
      <w:r>
        <w:rPr>
          <w:rFonts w:hint="eastAsia" w:ascii="仿宋_GB2312" w:hAnsi="仿宋_GB2312" w:eastAsia="仿宋_GB2312" w:cs="仿宋_GB2312"/>
          <w:b w:val="0"/>
          <w:bCs/>
          <w:color w:val="000000"/>
          <w:kern w:val="2"/>
          <w:sz w:val="32"/>
          <w:szCs w:val="32"/>
          <w:u w:val="none" w:color="auto"/>
          <w:lang w:val="en-US" w:eastAsia="zh-Hans" w:bidi="ar-SA"/>
        </w:rPr>
        <w:t>七十二</w:t>
      </w:r>
      <w:r>
        <w:rPr>
          <w:rFonts w:hint="eastAsia" w:ascii="仿宋_GB2312" w:hAnsi="仿宋_GB2312" w:eastAsia="仿宋_GB2312" w:cs="仿宋_GB2312"/>
          <w:b w:val="0"/>
          <w:bCs/>
          <w:color w:val="000000"/>
          <w:kern w:val="2"/>
          <w:sz w:val="32"/>
          <w:szCs w:val="32"/>
          <w:u w:val="none" w:color="auto"/>
          <w:lang w:val="en-US" w:eastAsia="zh-CN" w:bidi="ar-SA"/>
        </w:rPr>
        <w:t xml:space="preserve">条的规定，本局将每日按罚款数额的百分之三加处罚款，并依法申请人民法院强制执行。 </w:t>
      </w:r>
      <w:r>
        <w:rPr>
          <w:rFonts w:hint="eastAsia" w:ascii="仿宋_GB2312" w:hAnsi="仿宋_GB2312" w:eastAsia="仿宋_GB2312" w:cs="仿宋_GB2312"/>
          <w:b w:val="0"/>
          <w:bCs/>
          <w:color w:val="000000"/>
          <w:sz w:val="32"/>
          <w:szCs w:val="32"/>
          <w:u w:val="none" w:color="auto"/>
        </w:rPr>
        <w:t xml:space="preserve">                                                </w:t>
      </w:r>
    </w:p>
    <w:p w14:paraId="5E577BEA">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当事人如不服本行政处罚决定，可自收到本行政处罚决定书之日起六十日内，依法向薛城区人民政府申请复议；也可以自收到本行政处罚决定书之日起6个月内依法向薛城区人民法院等有管辖权的法院提起行政诉讼。诉讼、复议期间，本行政处罚不停止执行。</w:t>
      </w:r>
      <w:r>
        <w:rPr>
          <w:rFonts w:hint="eastAsia" w:ascii="仿宋_GB2312" w:hAnsi="仿宋_GB2312" w:eastAsia="仿宋_GB2312" w:cs="仿宋_GB2312"/>
          <w:b w:val="0"/>
          <w:bCs/>
          <w:color w:val="000000"/>
          <w:kern w:val="2"/>
          <w:sz w:val="32"/>
          <w:szCs w:val="32"/>
          <w:u w:val="none" w:color="auto"/>
          <w:lang w:val="en-US" w:eastAsia="zh-CN" w:bidi="ar-SA"/>
        </w:rPr>
        <w:t>(网上提交行政复议申请网址:http://124.128.58.185:9082/entrance?redirect=%2Findex)。</w:t>
      </w:r>
    </w:p>
    <w:p w14:paraId="3EB35318">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177A686F">
      <w:pPr>
        <w:widowControl/>
        <w:snapToGrid w:val="0"/>
        <w:spacing w:line="520" w:lineRule="exact"/>
        <w:jc w:val="left"/>
        <w:rPr>
          <w:rFonts w:ascii="Times New Roman" w:hAnsi="Times New Roman" w:eastAsia="仿宋_GB2312" w:cs="仿宋_GB2312"/>
          <w:color w:val="auto"/>
          <w:sz w:val="32"/>
          <w:szCs w:val="32"/>
        </w:rPr>
      </w:pPr>
    </w:p>
    <w:p w14:paraId="7C616828">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05620C3B">
      <w:pPr>
        <w:spacing w:line="560" w:lineRule="exact"/>
        <w:ind w:right="640" w:firstLine="601"/>
        <w:jc w:val="right"/>
        <w:rPr>
          <w:rFonts w:ascii="Times New Roman" w:hAnsi="Times New Roman" w:eastAsia="仿宋_GB2312" w:cs="仿宋"/>
          <w:color w:val="auto"/>
          <w:sz w:val="32"/>
          <w:szCs w:val="32"/>
        </w:rPr>
      </w:pPr>
      <w:bookmarkStart w:id="12" w:name="DYNAMIC—DWXX—tAj_dwmc—2"/>
      <w:r>
        <w:rPr>
          <w:rFonts w:hint="eastAsia" w:ascii="Times New Roman" w:hAnsi="Times New Roman" w:eastAsia="仿宋_GB2312" w:cs="仿宋"/>
          <w:color w:val="000000"/>
          <w:sz w:val="32"/>
          <w:u w:val="none"/>
        </w:rPr>
        <w:t>薛城区市场监督管理局</w:t>
      </w:r>
      <w:bookmarkEnd w:id="12"/>
      <w:r>
        <w:rPr>
          <w:rFonts w:hint="eastAsia" w:ascii="Times New Roman" w:hAnsi="Times New Roman" w:eastAsia="仿宋_GB2312" w:cs="仿宋"/>
          <w:color w:val="000000"/>
          <w:sz w:val="32"/>
          <w:szCs w:val="32"/>
          <w:u w:val="none"/>
        </w:rPr>
        <w:t xml:space="preserve">    </w:t>
      </w:r>
    </w:p>
    <w:p w14:paraId="5C9C65F5">
      <w:pPr>
        <w:spacing w:line="560" w:lineRule="exact"/>
        <w:ind w:right="640" w:firstLine="601"/>
        <w:jc w:val="right"/>
        <w:outlineLvl w:val="1"/>
        <w:rPr>
          <w:rFonts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p>
    <w:p w14:paraId="143ACE90">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rPr>
      </w:pPr>
      <w:bookmarkStart w:id="13" w:name="CALCULATE—TIME—NOW"/>
      <w:r>
        <w:rPr>
          <w:rFonts w:ascii="仿宋_GB2312" w:hAnsi="仿宋_GB2312" w:eastAsia="仿宋_GB2312" w:cs="仿宋_GB2312"/>
          <w:sz w:val="32"/>
        </w:rPr>
        <w:t>2026年07月24日</w:t>
      </w:r>
      <w:bookmarkEnd w:id="13"/>
      <w:r>
        <w:rPr>
          <w:rFonts w:hint="eastAsia" w:ascii="Times New Roman" w:hAnsi="Times New Roman" w:eastAsia="仿宋_GB2312" w:cs="仿宋_GB2312"/>
          <w:color w:val="000000"/>
          <w:sz w:val="32"/>
          <w:szCs w:val="32"/>
          <w:u w:val="none"/>
        </w:rPr>
        <w:t xml:space="preserve">  </w:t>
      </w:r>
    </w:p>
    <w:p w14:paraId="54C4151C">
      <w:pPr>
        <w:widowControl/>
        <w:snapToGrid w:val="0"/>
        <w:spacing w:line="520" w:lineRule="exact"/>
        <w:jc w:val="right"/>
        <w:rPr>
          <w:rFonts w:ascii="Times New Roman" w:hAnsi="Times New Roman" w:eastAsia="仿宋_GB2312" w:cs="Mongolian Baiti"/>
          <w:color w:val="auto"/>
          <w:sz w:val="32"/>
          <w:szCs w:val="32"/>
        </w:rPr>
      </w:pPr>
    </w:p>
    <w:p w14:paraId="6E4B2085">
      <w:pPr>
        <w:widowControl/>
        <w:snapToGrid w:val="0"/>
        <w:spacing w:line="520" w:lineRule="exact"/>
        <w:jc w:val="right"/>
        <w:rPr>
          <w:rFonts w:ascii="Times New Roman" w:hAnsi="Times New Roman" w:eastAsia="仿宋_GB2312" w:cs="Mongolian Baiti"/>
          <w:color w:val="auto"/>
          <w:sz w:val="32"/>
          <w:szCs w:val="32"/>
        </w:rPr>
      </w:pPr>
    </w:p>
    <w:p w14:paraId="0702D2E6">
      <w:pPr>
        <w:widowControl/>
        <w:snapToGrid w:val="0"/>
        <w:spacing w:line="520" w:lineRule="exact"/>
        <w:jc w:val="right"/>
        <w:rPr>
          <w:rFonts w:ascii="Times New Roman" w:hAnsi="Times New Roman" w:eastAsia="仿宋_GB2312" w:cs="Mongolian Baiti"/>
          <w:color w:val="auto"/>
          <w:sz w:val="32"/>
          <w:szCs w:val="32"/>
        </w:rPr>
      </w:pPr>
    </w:p>
    <w:p w14:paraId="201C094E">
      <w:pPr>
        <w:widowControl/>
        <w:snapToGrid w:val="0"/>
        <w:spacing w:line="520" w:lineRule="exact"/>
        <w:jc w:val="right"/>
        <w:rPr>
          <w:rFonts w:ascii="Times New Roman" w:hAnsi="Times New Roman" w:eastAsia="仿宋_GB2312" w:cs="Mongolian Baiti"/>
          <w:color w:val="auto"/>
          <w:sz w:val="32"/>
          <w:szCs w:val="32"/>
        </w:rPr>
      </w:pPr>
    </w:p>
    <w:p w14:paraId="2580B123">
      <w:pPr>
        <w:widowControl/>
        <w:snapToGrid w:val="0"/>
        <w:spacing w:line="520" w:lineRule="exact"/>
        <w:jc w:val="right"/>
        <w:rPr>
          <w:rFonts w:ascii="Times New Roman" w:hAnsi="Times New Roman" w:eastAsia="仿宋_GB2312" w:cs="Mongolian Baiti"/>
          <w:color w:val="auto"/>
          <w:sz w:val="32"/>
          <w:szCs w:val="32"/>
        </w:rPr>
      </w:pPr>
    </w:p>
    <w:p w14:paraId="1F2EC9DD">
      <w:pPr>
        <w:widowControl/>
        <w:snapToGrid w:val="0"/>
        <w:spacing w:line="520" w:lineRule="exact"/>
        <w:jc w:val="right"/>
        <w:rPr>
          <w:rFonts w:ascii="Times New Roman" w:hAnsi="Times New Roman" w:eastAsia="仿宋_GB2312" w:cs="Mongolian Baiti"/>
          <w:color w:val="auto"/>
          <w:sz w:val="32"/>
          <w:szCs w:val="32"/>
        </w:rPr>
      </w:pPr>
    </w:p>
    <w:p w14:paraId="4E7A1D63">
      <w:pPr>
        <w:widowControl/>
        <w:snapToGrid w:val="0"/>
        <w:spacing w:line="520" w:lineRule="exact"/>
        <w:jc w:val="right"/>
        <w:rPr>
          <w:rFonts w:ascii="Times New Roman" w:hAnsi="Times New Roman" w:eastAsia="仿宋_GB2312" w:cs="Mongolian Baiti"/>
          <w:color w:val="auto"/>
          <w:sz w:val="32"/>
          <w:szCs w:val="32"/>
        </w:rPr>
      </w:pPr>
    </w:p>
    <w:p w14:paraId="5214C4C5">
      <w:pPr>
        <w:widowControl/>
        <w:snapToGrid w:val="0"/>
        <w:spacing w:line="520" w:lineRule="exact"/>
        <w:jc w:val="right"/>
        <w:rPr>
          <w:rFonts w:ascii="Times New Roman" w:hAnsi="Times New Roman" w:eastAsia="仿宋_GB2312" w:cs="Mongolian Baiti"/>
          <w:color w:val="auto"/>
          <w:sz w:val="32"/>
          <w:szCs w:val="32"/>
        </w:rPr>
      </w:pPr>
    </w:p>
    <w:p w14:paraId="23BC9CBD">
      <w:pPr>
        <w:widowControl/>
        <w:snapToGrid w:val="0"/>
        <w:spacing w:line="520" w:lineRule="exact"/>
        <w:jc w:val="right"/>
        <w:rPr>
          <w:rFonts w:ascii="Times New Roman" w:hAnsi="Times New Roman" w:eastAsia="仿宋_GB2312" w:cs="Mongolian Baiti"/>
          <w:color w:val="auto"/>
          <w:sz w:val="32"/>
          <w:szCs w:val="32"/>
        </w:rPr>
      </w:pPr>
    </w:p>
    <w:p w14:paraId="0729208B">
      <w:pPr>
        <w:widowControl/>
        <w:snapToGrid w:val="0"/>
        <w:spacing w:line="520" w:lineRule="exact"/>
        <w:jc w:val="right"/>
        <w:rPr>
          <w:rFonts w:ascii="Times New Roman" w:hAnsi="Times New Roman" w:eastAsia="仿宋_GB2312" w:cs="Mongolian Baiti"/>
          <w:color w:val="auto"/>
          <w:sz w:val="32"/>
          <w:szCs w:val="32"/>
        </w:rPr>
      </w:pPr>
    </w:p>
    <w:p w14:paraId="52B7F6CF">
      <w:pPr>
        <w:widowControl/>
        <w:snapToGrid w:val="0"/>
        <w:spacing w:line="520" w:lineRule="exact"/>
        <w:jc w:val="right"/>
        <w:rPr>
          <w:rFonts w:ascii="Times New Roman" w:hAnsi="Times New Roman" w:eastAsia="仿宋_GB2312" w:cs="Mongolian Baiti"/>
          <w:color w:val="auto"/>
          <w:sz w:val="32"/>
          <w:szCs w:val="32"/>
        </w:rPr>
      </w:pPr>
    </w:p>
    <w:p w14:paraId="5A47480E">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77C8BB8F">
      <w:pPr>
        <w:spacing w:line="500" w:lineRule="exact"/>
        <w:ind w:firstLine="1280" w:firstLineChars="400"/>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ngal">
    <w:altName w:val="C059"/>
    <w:panose1 w:val="000004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ongolian Baiti">
    <w:altName w:val="C059"/>
    <w:panose1 w:val="03000500000000000000"/>
    <w:charset w:val="00"/>
    <w:family w:val="script"/>
    <w:pitch w:val="default"/>
    <w:sig w:usb0="00000000" w:usb1="00000000" w:usb2="0002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D28F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8B09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F8B09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D9112"/>
    <w:multiLevelType w:val="singleLevel"/>
    <w:tmpl w:val="841D9112"/>
    <w:lvl w:ilvl="0" w:tentative="0">
      <w:start w:val="1"/>
      <w:numFmt w:val="decimal"/>
      <w:suff w:val="nothing"/>
      <w:lvlText w:val="%1、"/>
      <w:lvlJc w:val="left"/>
    </w:lvl>
  </w:abstractNum>
  <w:abstractNum w:abstractNumId="1">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ad3abea3-8ba7-47a2-bc3f-332894d4261f"/>
  </w:docVars>
  <w:rsids>
    <w:rsidRoot w:val="5BA419F7"/>
    <w:rsid w:val="00193C35"/>
    <w:rsid w:val="0032134F"/>
    <w:rsid w:val="015E40FA"/>
    <w:rsid w:val="02B83402"/>
    <w:rsid w:val="03D248F1"/>
    <w:rsid w:val="04CD463F"/>
    <w:rsid w:val="04FA4431"/>
    <w:rsid w:val="0594462C"/>
    <w:rsid w:val="06BAE61F"/>
    <w:rsid w:val="071C7669"/>
    <w:rsid w:val="0776795A"/>
    <w:rsid w:val="08365B64"/>
    <w:rsid w:val="0A8C015C"/>
    <w:rsid w:val="0B22091D"/>
    <w:rsid w:val="0CAA03CF"/>
    <w:rsid w:val="0CE877EB"/>
    <w:rsid w:val="0CF71776"/>
    <w:rsid w:val="103E22C5"/>
    <w:rsid w:val="133C385A"/>
    <w:rsid w:val="1350279A"/>
    <w:rsid w:val="14203063"/>
    <w:rsid w:val="143E1E38"/>
    <w:rsid w:val="14C15298"/>
    <w:rsid w:val="152E563E"/>
    <w:rsid w:val="15B93156"/>
    <w:rsid w:val="18325353"/>
    <w:rsid w:val="18B229B2"/>
    <w:rsid w:val="19FE4517"/>
    <w:rsid w:val="1AE345F4"/>
    <w:rsid w:val="1C9C2B08"/>
    <w:rsid w:val="1DA4420A"/>
    <w:rsid w:val="1F2B5D07"/>
    <w:rsid w:val="1FD31F15"/>
    <w:rsid w:val="2204009D"/>
    <w:rsid w:val="236534A4"/>
    <w:rsid w:val="244E1F2B"/>
    <w:rsid w:val="24626694"/>
    <w:rsid w:val="24C90F9B"/>
    <w:rsid w:val="258D6CE0"/>
    <w:rsid w:val="2B1B3EFC"/>
    <w:rsid w:val="2CEA3815"/>
    <w:rsid w:val="2DE10173"/>
    <w:rsid w:val="2F327E79"/>
    <w:rsid w:val="2F7CE1EF"/>
    <w:rsid w:val="2FCB3085"/>
    <w:rsid w:val="30DB5683"/>
    <w:rsid w:val="342602B0"/>
    <w:rsid w:val="3585615B"/>
    <w:rsid w:val="368E5656"/>
    <w:rsid w:val="377FBB27"/>
    <w:rsid w:val="37EFB58C"/>
    <w:rsid w:val="37F16547"/>
    <w:rsid w:val="38B63DA7"/>
    <w:rsid w:val="3930619F"/>
    <w:rsid w:val="3A4E178D"/>
    <w:rsid w:val="3BF97ECA"/>
    <w:rsid w:val="3C2965F0"/>
    <w:rsid w:val="3C6514A3"/>
    <w:rsid w:val="3F2604DF"/>
    <w:rsid w:val="3F3A5749"/>
    <w:rsid w:val="3F6783E4"/>
    <w:rsid w:val="3FFF82D4"/>
    <w:rsid w:val="402E7C06"/>
    <w:rsid w:val="40FE5F8F"/>
    <w:rsid w:val="425049CE"/>
    <w:rsid w:val="452A0987"/>
    <w:rsid w:val="4659781C"/>
    <w:rsid w:val="48C10000"/>
    <w:rsid w:val="4A256B30"/>
    <w:rsid w:val="4A6560CF"/>
    <w:rsid w:val="4B8F0B22"/>
    <w:rsid w:val="4BD32FF0"/>
    <w:rsid w:val="4BF103A5"/>
    <w:rsid w:val="4C02380F"/>
    <w:rsid w:val="4CC8271B"/>
    <w:rsid w:val="4D9306AE"/>
    <w:rsid w:val="4E8950D9"/>
    <w:rsid w:val="4F0457DF"/>
    <w:rsid w:val="4F884709"/>
    <w:rsid w:val="50203765"/>
    <w:rsid w:val="510E398C"/>
    <w:rsid w:val="547C0750"/>
    <w:rsid w:val="57503162"/>
    <w:rsid w:val="591F0542"/>
    <w:rsid w:val="5A226C8B"/>
    <w:rsid w:val="5BA419F7"/>
    <w:rsid w:val="5BF91583"/>
    <w:rsid w:val="5BFB2E57"/>
    <w:rsid w:val="5DD7483B"/>
    <w:rsid w:val="5E5FAB03"/>
    <w:rsid w:val="5EBE23F5"/>
    <w:rsid w:val="5F9FEDD5"/>
    <w:rsid w:val="5FBEF003"/>
    <w:rsid w:val="5FE33914"/>
    <w:rsid w:val="5FFA4D85"/>
    <w:rsid w:val="602422E6"/>
    <w:rsid w:val="60B635F2"/>
    <w:rsid w:val="612E7E8C"/>
    <w:rsid w:val="64E43803"/>
    <w:rsid w:val="66733921"/>
    <w:rsid w:val="66DC6450"/>
    <w:rsid w:val="67E353A7"/>
    <w:rsid w:val="69690BB2"/>
    <w:rsid w:val="6AD7030F"/>
    <w:rsid w:val="6BCC1BB9"/>
    <w:rsid w:val="6D923254"/>
    <w:rsid w:val="6E04767D"/>
    <w:rsid w:val="6E6950E9"/>
    <w:rsid w:val="6F732ABB"/>
    <w:rsid w:val="6FF58B64"/>
    <w:rsid w:val="6FF8F863"/>
    <w:rsid w:val="70CF02CA"/>
    <w:rsid w:val="71013020"/>
    <w:rsid w:val="710D7C3E"/>
    <w:rsid w:val="7376089F"/>
    <w:rsid w:val="75B2DA43"/>
    <w:rsid w:val="75BD90DB"/>
    <w:rsid w:val="761855A7"/>
    <w:rsid w:val="771B255E"/>
    <w:rsid w:val="77DF8BD4"/>
    <w:rsid w:val="77EFD5CC"/>
    <w:rsid w:val="77FFADAC"/>
    <w:rsid w:val="78FD0303"/>
    <w:rsid w:val="798E79CF"/>
    <w:rsid w:val="7B0F6E9A"/>
    <w:rsid w:val="7BFD6076"/>
    <w:rsid w:val="7C8E43D6"/>
    <w:rsid w:val="7DA813EB"/>
    <w:rsid w:val="7DFF108F"/>
    <w:rsid w:val="7EED8AE6"/>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575</Words>
  <Characters>653</Characters>
  <Lines>0</Lines>
  <Paragraphs>0</Paragraphs>
  <TotalTime>13</TotalTime>
  <ScaleCrop>false</ScaleCrop>
  <LinksUpToDate>false</LinksUpToDate>
  <CharactersWithSpaces>1903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2021-08-03T02:04:00Z</dcterms:created>
  <dc:creator>胖林宝宝噜啦噜～</dc:creator>
  <cp:lastModifiedBy>01sj</cp:lastModifiedBy>
  <dcterms:modified xsi:type="dcterms:W3CDTF">2026-07-24T15:47:07Z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BFC3957F768C1C8D150D636AEB0F8ACC_43</vt:lpwstr>
  </property>
  <property fmtid="{D5CDD505-2E9C-101B-9397-08002B2CF9AE}" pid="4" name="KSOTemplateDocerSaveRecord">
    <vt:lpwstr>eyJoZGlkIjoiMDM5ODBmOTY1MDIwMjc4YjRlZWY0MWU1ZDJjMGQ0MGQiLCJ1c2VySWQiOiI1MzY4Mzk2MTQifQ==</vt:lpwstr>
  </property>
</Properties>
</file>