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63CD8C">
      <w:pPr>
        <w:numPr>
          <w:ilvl w:val="0"/>
          <w:numId w:val="2"/>
        </w:numPr>
        <w:spacing w:line="640" w:lineRule="exact"/>
        <w:jc w:val="center"/>
        <w:outlineLvl w:val="0"/>
        <w:rPr>
          <w:rFonts w:hint="eastAsia" w:ascii="方正小标宋简体" w:hAnsi="方正小标宋简体" w:eastAsia="方正小标宋简体" w:cs="方正小标宋简体"/>
          <w:color w:val="auto"/>
          <w:sz w:val="44"/>
          <w:szCs w:val="44"/>
        </w:rPr>
      </w:pPr>
      <w:bookmarkStart w:id="0" w:name="DYNAMIC—DWXX—tAj_dwmc"/>
      <w:r>
        <w:rPr>
          <w:rFonts w:hint="eastAsia" w:ascii="方正小标宋简体" w:hAnsi="方正小标宋简体" w:eastAsia="方正小标宋简体" w:cs="方正小标宋简体"/>
          <w:color w:val="auto"/>
          <w:sz w:val="44"/>
          <w:lang w:val="en-US" w:eastAsia="zh-CN"/>
        </w:rPr>
        <w:t>枣庄市</w:t>
      </w:r>
      <w:r>
        <w:rPr>
          <w:rFonts w:hint="default" w:ascii="方正小标宋简体" w:hAnsi="方正小标宋简体" w:eastAsia="方正小标宋简体" w:cs="方正小标宋简体"/>
          <w:color w:val="auto"/>
          <w:sz w:val="44"/>
        </w:rPr>
        <w:t>薛城区市场监督管理局</w:t>
      </w:r>
      <w:bookmarkEnd w:id="0"/>
    </w:p>
    <w:p w14:paraId="7D263371">
      <w:pPr>
        <w:pStyle w:val="2"/>
        <w:keepNext w:val="0"/>
        <w:numPr>
          <w:ilvl w:val="0"/>
          <w:numId w:val="2"/>
        </w:numPr>
        <w:spacing w:before="0" w:after="0" w:line="640" w:lineRule="exact"/>
        <w:jc w:val="center"/>
        <w:rPr>
          <w:rFonts w:hint="eastAsia" w:eastAsia="方正小标宋简体" w:cs="方正小标宋简体"/>
          <w:color w:val="auto"/>
          <w:sz w:val="44"/>
          <w:szCs w:val="44"/>
        </w:rPr>
      </w:pPr>
      <w:bookmarkStart w:id="1" w:name="_Toc76683344"/>
      <w:r>
        <w:rPr>
          <w:rFonts w:hint="eastAsia" w:hAnsi="方正小标宋简体" w:eastAsia="方正小标宋简体" w:cs="方正小标宋简体"/>
          <w:color w:val="auto"/>
          <w:sz w:val="44"/>
          <w:szCs w:val="44"/>
          <w:lang w:val="en-US"/>
        </w:rPr>
        <w:t>行政处罚</w:t>
      </w:r>
      <w:r>
        <w:rPr>
          <w:rFonts w:hint="eastAsia" w:hAnsi="方正小标宋简体" w:eastAsia="方正小标宋简体" w:cs="方正小标宋简体"/>
          <w:color w:val="auto"/>
          <w:sz w:val="44"/>
          <w:szCs w:val="44"/>
          <w:lang w:val="en-US" w:eastAsia="zh-Hans"/>
        </w:rPr>
        <w:t>决定</w:t>
      </w:r>
      <w:r>
        <w:rPr>
          <w:rFonts w:hint="eastAsia" w:hAnsi="方正小标宋简体" w:eastAsia="方正小标宋简体" w:cs="方正小标宋简体"/>
          <w:color w:val="auto"/>
          <w:sz w:val="44"/>
          <w:szCs w:val="44"/>
          <w:lang w:val="en-US"/>
        </w:rPr>
        <w:t>书</w:t>
      </w:r>
      <w:bookmarkEnd w:id="1"/>
    </w:p>
    <w:p w14:paraId="7EA39DC5">
      <w:pPr>
        <w:widowControl/>
        <w:snapToGrid w:val="0"/>
        <w:spacing w:line="560" w:lineRule="exact"/>
        <w:ind w:right="55"/>
        <w:jc w:val="center"/>
        <w:outlineLvl w:val="1"/>
        <w:rPr>
          <w:rFonts w:hint="eastAsia" w:ascii="Times New Roman" w:hAnsi="仿宋_GB2312" w:eastAsia="仿宋_GB2312" w:cs="仿宋_GB2312"/>
          <w:bCs/>
          <w:color w:val="auto"/>
          <w:sz w:val="32"/>
          <w:szCs w:val="32"/>
        </w:rPr>
      </w:pPr>
      <w:bookmarkStart w:id="2" w:name="tAj_wh"/>
      <w:r>
        <w:rPr>
          <w:rFonts w:hint="eastAsia" w:ascii="Times New Roman" w:hAnsi="Times New Roman" w:eastAsia="仿宋_GB2312" w:cs="Mongolian Baiti"/>
          <w:color w:val="auto"/>
          <w:sz w:val="32"/>
        </w:rPr>
        <w:t>薛市监处罚〔2026〕676号</w:t>
      </w:r>
      <w:bookmarkEnd w:id="2"/>
    </w:p>
    <w:p w14:paraId="01D329AB">
      <w:pPr>
        <w:keepNext w:val="0"/>
        <w:keepLines w:val="0"/>
        <w:pageBreakBefore w:val="0"/>
        <w:kinsoku/>
        <w:overflowPunct/>
        <w:topLinePunct w:val="0"/>
        <w:bidi w:val="0"/>
        <w:spacing w:before="315" w:beforeLines="100" w:line="440" w:lineRule="exact"/>
        <w:ind w:left="142" w:hanging="142"/>
        <w:textAlignment w:val="auto"/>
        <w:rPr>
          <w:rFonts w:hint="eastAsia" w:ascii="仿宋" w:hAnsi="仿宋" w:eastAsia="仿宋" w:cs="仿宋"/>
          <w:b w:val="0"/>
          <w:bCs/>
          <w:color w:val="auto"/>
          <w:sz w:val="32"/>
          <w:szCs w:val="32"/>
          <w:lang w:val="en-US" w:eastAsia="zh-CN"/>
        </w:rPr>
      </w:pPr>
      <w:r>
        <w:rPr>
          <w:rFonts w:hint="eastAsia" w:ascii="仿宋" w:hAnsi="仿宋" w:eastAsia="仿宋" w:cs="仿宋"/>
          <w:b w:val="0"/>
          <w:bCs/>
          <w:color w:val="auto"/>
          <w:kern w:val="1"/>
          <w:sz w:val="32"/>
          <w:szCs w:val="32"/>
        </w:rPr>
        <w:t>当事人：</w:t>
      </w:r>
      <w:bookmarkStart w:id="3" w:name="CALCULATE—DSR—tAjDsrs_cMc"/>
      <w:r>
        <w:rPr>
          <w:rFonts w:hint="eastAsia" w:ascii="仿宋" w:hAnsi="仿宋" w:eastAsia="仿宋" w:cs="仿宋"/>
          <w:b w:val="0"/>
          <w:color w:val="auto"/>
          <w:sz w:val="32"/>
          <w:u w:val="single"/>
        </w:rPr>
        <w:t>山东食裕轩生物科技有限公司</w:t>
      </w:r>
      <w:bookmarkEnd w:id="3"/>
      <w:r>
        <w:rPr>
          <w:rFonts w:hint="eastAsia" w:ascii="仿宋" w:hAnsi="仿宋" w:eastAsia="仿宋" w:cs="仿宋"/>
          <w:b w:val="0"/>
          <w:bCs/>
          <w:color w:val="auto"/>
          <w:kern w:val="1"/>
          <w:sz w:val="32"/>
          <w:szCs w:val="32"/>
          <w:u w:val="single"/>
        </w:rPr>
        <w:t xml:space="preserve">                                            </w:t>
      </w:r>
    </w:p>
    <w:p w14:paraId="3CFD1A68">
      <w:pPr>
        <w:keepNext w:val="0"/>
        <w:keepLines w:val="0"/>
        <w:pageBreakBefore w:val="0"/>
        <w:kinsoku/>
        <w:overflowPunct/>
        <w:topLinePunct w:val="0"/>
        <w:bidi w:val="0"/>
        <w:spacing w:line="440" w:lineRule="exact"/>
        <w:ind w:left="140" w:hanging="140"/>
        <w:textAlignment w:val="auto"/>
        <w:rPr>
          <w:rFonts w:hint="eastAsia" w:ascii="仿宋" w:hAnsi="仿宋" w:eastAsia="仿宋" w:cs="仿宋"/>
          <w:b w:val="0"/>
          <w:bCs/>
          <w:color w:val="auto"/>
          <w:kern w:val="1"/>
          <w:sz w:val="32"/>
          <w:szCs w:val="32"/>
          <w:u w:val="single"/>
        </w:rPr>
      </w:pPr>
      <w:r>
        <w:rPr>
          <w:rFonts w:hint="eastAsia" w:ascii="仿宋" w:hAnsi="仿宋" w:eastAsia="仿宋" w:cs="仿宋"/>
          <w:b w:val="0"/>
          <w:bCs/>
          <w:color w:val="auto"/>
          <w:kern w:val="1"/>
          <w:sz w:val="32"/>
          <w:szCs w:val="32"/>
        </w:rPr>
        <w:t>主体资格证照名称：</w:t>
      </w:r>
      <w:bookmarkStart w:id="4" w:name="CALCULATE—DSR—tAjDsrs_cZtzgzzmc"/>
      <w:r>
        <w:rPr>
          <w:rFonts w:hint="eastAsia" w:ascii="仿宋" w:hAnsi="仿宋" w:eastAsia="仿宋" w:cs="仿宋"/>
          <w:b w:val="0"/>
          <w:color w:val="auto"/>
          <w:sz w:val="32"/>
          <w:u w:val="single"/>
        </w:rPr>
        <w:t>营业执照</w:t>
      </w:r>
      <w:bookmarkEnd w:id="4"/>
      <w:r>
        <w:rPr>
          <w:rFonts w:hint="eastAsia" w:ascii="仿宋" w:hAnsi="仿宋" w:eastAsia="仿宋" w:cs="仿宋"/>
          <w:b w:val="0"/>
          <w:bCs/>
          <w:color w:val="auto"/>
          <w:kern w:val="1"/>
          <w:sz w:val="32"/>
          <w:szCs w:val="32"/>
          <w:u w:val="single"/>
        </w:rPr>
        <w:t xml:space="preserve">                                  </w:t>
      </w:r>
    </w:p>
    <w:p w14:paraId="6112D816">
      <w:pPr>
        <w:keepNext w:val="0"/>
        <w:keepLines w:val="0"/>
        <w:pageBreakBefore w:val="0"/>
        <w:kinsoku/>
        <w:overflowPunct/>
        <w:topLinePunct w:val="0"/>
        <w:bidi w:val="0"/>
        <w:spacing w:line="440" w:lineRule="exact"/>
        <w:ind w:left="140" w:hanging="140"/>
        <w:textAlignment w:val="auto"/>
        <w:rPr>
          <w:rFonts w:hint="eastAsia" w:ascii="仿宋" w:hAnsi="仿宋" w:eastAsia="仿宋" w:cs="仿宋"/>
          <w:b w:val="0"/>
          <w:bCs/>
          <w:color w:val="auto"/>
          <w:kern w:val="1"/>
          <w:sz w:val="32"/>
          <w:szCs w:val="32"/>
          <w:u w:val="single"/>
          <w:lang w:val="en-US" w:eastAsia="zh-CN"/>
        </w:rPr>
      </w:pPr>
      <w:r>
        <w:rPr>
          <w:rFonts w:hint="eastAsia" w:ascii="仿宋" w:hAnsi="仿宋" w:eastAsia="仿宋" w:cs="仿宋"/>
          <w:b w:val="0"/>
          <w:bCs/>
          <w:color w:val="auto"/>
          <w:kern w:val="1"/>
          <w:sz w:val="32"/>
          <w:szCs w:val="32"/>
        </w:rPr>
        <w:t>统一社会信用代码：</w:t>
      </w:r>
      <w:bookmarkStart w:id="5" w:name="CALCULATE—DSR—tAjDsrs_cTzshxydm"/>
      <w:r>
        <w:rPr>
          <w:rFonts w:hint="eastAsia" w:ascii="仿宋" w:hAnsi="仿宋" w:eastAsia="仿宋" w:cs="仿宋"/>
          <w:b w:val="0"/>
          <w:color w:val="auto"/>
          <w:sz w:val="32"/>
          <w:u w:val="single"/>
        </w:rPr>
        <w:t>91370403MABRT9NHXY</w:t>
      </w:r>
      <w:bookmarkEnd w:id="5"/>
      <w:r>
        <w:rPr>
          <w:rFonts w:hint="eastAsia" w:ascii="仿宋" w:hAnsi="仿宋" w:eastAsia="仿宋" w:cs="仿宋"/>
          <w:b w:val="0"/>
          <w:bCs/>
          <w:color w:val="auto"/>
          <w:kern w:val="1"/>
          <w:sz w:val="32"/>
          <w:szCs w:val="32"/>
          <w:u w:val="single"/>
        </w:rPr>
        <w:t xml:space="preserve">                                  </w:t>
      </w:r>
    </w:p>
    <w:p w14:paraId="7EDC33E1">
      <w:pPr>
        <w:keepNext w:val="0"/>
        <w:keepLines w:val="0"/>
        <w:pageBreakBefore w:val="0"/>
        <w:kinsoku/>
        <w:overflowPunct/>
        <w:topLinePunct w:val="0"/>
        <w:bidi w:val="0"/>
        <w:spacing w:line="440" w:lineRule="exact"/>
        <w:ind w:left="140" w:hanging="140"/>
        <w:textAlignment w:val="auto"/>
        <w:rPr>
          <w:rFonts w:hint="eastAsia" w:ascii="仿宋" w:hAnsi="仿宋" w:eastAsia="仿宋" w:cs="仿宋"/>
          <w:b w:val="0"/>
          <w:bCs/>
          <w:color w:val="auto"/>
          <w:kern w:val="1"/>
          <w:sz w:val="32"/>
          <w:szCs w:val="32"/>
          <w:lang w:val="en-US" w:eastAsia="zh-CN"/>
        </w:rPr>
      </w:pPr>
      <w:r>
        <w:rPr>
          <w:rFonts w:hint="eastAsia" w:ascii="仿宋" w:hAnsi="仿宋" w:eastAsia="仿宋" w:cs="仿宋"/>
          <w:b w:val="0"/>
          <w:bCs/>
          <w:color w:val="auto"/>
          <w:kern w:val="1"/>
          <w:sz w:val="32"/>
          <w:szCs w:val="32"/>
        </w:rPr>
        <w:t>住所（住址）：</w:t>
      </w:r>
      <w:bookmarkStart w:id="6" w:name="CALCULATE—DSR—tAjDsrs_cLxdzSheng"/>
      <w:r>
        <w:rPr>
          <w:rFonts w:hint="eastAsia" w:ascii="仿宋" w:hAnsi="仿宋" w:eastAsia="仿宋" w:cs="仿宋"/>
          <w:b w:val="0"/>
          <w:color w:val="auto"/>
          <w:sz w:val="32"/>
          <w:u w:val="single"/>
        </w:rPr>
        <w:t>山东省枣庄市山东省枣庄市薛城邹坞镇张岭村西345省道路北88号</w:t>
      </w:r>
      <w:bookmarkEnd w:id="6"/>
      <w:r>
        <w:rPr>
          <w:rFonts w:hint="eastAsia" w:ascii="仿宋" w:hAnsi="仿宋" w:eastAsia="仿宋" w:cs="仿宋"/>
          <w:b w:val="0"/>
          <w:bCs/>
          <w:color w:val="auto"/>
          <w:kern w:val="1"/>
          <w:sz w:val="32"/>
          <w:szCs w:val="32"/>
          <w:u w:val="single"/>
        </w:rPr>
        <w:t xml:space="preserve">                                      </w:t>
      </w:r>
      <w:r>
        <w:rPr>
          <w:rFonts w:hint="eastAsia" w:ascii="仿宋" w:hAnsi="仿宋" w:eastAsia="仿宋" w:cs="仿宋"/>
          <w:b w:val="0"/>
          <w:bCs/>
          <w:color w:val="auto"/>
          <w:kern w:val="1"/>
          <w:sz w:val="32"/>
          <w:szCs w:val="32"/>
          <w:u w:val="single"/>
          <w:lang w:val="en-US" w:eastAsia="zh-CN"/>
        </w:rPr>
        <w:t xml:space="preserve"> </w:t>
      </w:r>
    </w:p>
    <w:p w14:paraId="6AC0878E">
      <w:pPr>
        <w:pStyle w:val="3"/>
        <w:keepNext w:val="0"/>
        <w:keepLines w:val="0"/>
        <w:pageBreakBefore w:val="0"/>
        <w:tabs>
          <w:tab w:val="left" w:pos="9060"/>
        </w:tabs>
        <w:kinsoku/>
        <w:overflowPunct/>
        <w:topLinePunct w:val="0"/>
        <w:bidi w:val="0"/>
        <w:spacing w:line="440" w:lineRule="exact"/>
        <w:ind w:firstLine="640" w:firstLineChars="200"/>
        <w:textAlignment w:val="auto"/>
        <w:rPr>
          <w:rFonts w:hint="eastAsia" w:ascii="仿宋" w:hAnsi="仿宋" w:eastAsia="仿宋" w:cs="仿宋"/>
          <w:b w:val="0"/>
          <w:bCs/>
          <w:color w:val="auto"/>
          <w:u w:val="single" w:color="231F20"/>
        </w:rPr>
      </w:pPr>
    </w:p>
    <w:p w14:paraId="6743E8E6">
      <w:pPr>
        <w:keepNext w:val="0"/>
        <w:keepLines w:val="0"/>
        <w:pageBreakBefore w:val="0"/>
        <w:widowControl/>
        <w:kinsoku/>
        <w:wordWrap w:val="0"/>
        <w:overflowPunct/>
        <w:topLinePunct w:val="0"/>
        <w:autoSpaceDE/>
        <w:autoSpaceDN/>
        <w:bidi w:val="0"/>
        <w:adjustRightInd/>
        <w:snapToGrid/>
        <w:spacing w:line="440" w:lineRule="exact"/>
        <w:ind w:firstLine="640" w:firstLineChars="200"/>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枣庄市市场监督管理局委托青岛谱尼测试有限公司对阿里巴巴山东食裕轩生物科技有限公司进行食品安全监督抽检。其中山东食裕轩生物科技有限公司生产的奇亚籽坚果莲子羹（生产日期为2026-02-20），经抽样检验，霉菌项目不符合GB 19640-2016《食品安全国家标准 冲调谷物制品》要求，检验结论为不合格，检验报告№：LJ-CSP-2024第28719。</w:t>
      </w:r>
    </w:p>
    <w:p w14:paraId="4DAC0C73">
      <w:pPr>
        <w:keepNext w:val="0"/>
        <w:keepLines w:val="0"/>
        <w:pageBreakBefore w:val="0"/>
        <w:widowControl/>
        <w:kinsoku/>
        <w:wordWrap w:val="0"/>
        <w:overflowPunct/>
        <w:topLinePunct w:val="0"/>
        <w:autoSpaceDE/>
        <w:autoSpaceDN/>
        <w:bidi w:val="0"/>
        <w:adjustRightInd/>
        <w:snapToGrid/>
        <w:spacing w:line="440" w:lineRule="exact"/>
        <w:ind w:firstLine="640" w:firstLineChars="20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我局执法人员于2026年3月23号 向当事人送达了上述检验报告，由白禹签收，并告知如对本检验结果有异议，可在收到检验报告之日起七个工作日内提出书面复检申请，逾期视为放弃该项权利；现场检查时，未在仓库内发现上述涉案产品。</w:t>
      </w:r>
    </w:p>
    <w:p w14:paraId="66934EB3">
      <w:pPr>
        <w:keepNext w:val="0"/>
        <w:keepLines w:val="0"/>
        <w:pageBreakBefore w:val="0"/>
        <w:widowControl/>
        <w:kinsoku/>
        <w:wordWrap w:val="0"/>
        <w:overflowPunct/>
        <w:topLinePunct w:val="0"/>
        <w:autoSpaceDE/>
        <w:autoSpaceDN/>
        <w:bidi w:val="0"/>
        <w:adjustRightInd/>
        <w:snapToGrid/>
        <w:spacing w:line="440" w:lineRule="exact"/>
        <w:ind w:leftChars="0" w:firstLine="640" w:firstLineChars="20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经初步审查，当事人的行为涉嫌违反了《中华人民共和国食品安全法》第三十四条第（十三）项</w:t>
      </w:r>
      <w:r>
        <w:rPr>
          <w:rFonts w:hint="eastAsia" w:ascii="仿宋" w:hAnsi="仿宋" w:eastAsia="仿宋" w:cs="仿宋"/>
          <w:kern w:val="2"/>
          <w:sz w:val="32"/>
          <w:szCs w:val="32"/>
          <w:lang w:val="zh-CN" w:eastAsia="zh-CN" w:bidi="ar-SA"/>
        </w:rPr>
        <w:t>“禁止生产经营下列食品、食品添加剂、食品相关产品：</w:t>
      </w:r>
      <w:r>
        <w:rPr>
          <w:rFonts w:hint="eastAsia" w:ascii="仿宋" w:hAnsi="仿宋" w:eastAsia="仿宋" w:cs="仿宋"/>
          <w:kern w:val="2"/>
          <w:sz w:val="32"/>
          <w:szCs w:val="32"/>
          <w:lang w:val="en-US" w:eastAsia="zh-CN" w:bidi="ar-SA"/>
        </w:rPr>
        <w:t>...</w:t>
      </w:r>
      <w:r>
        <w:rPr>
          <w:rFonts w:hint="eastAsia" w:ascii="仿宋" w:hAnsi="仿宋" w:eastAsia="仿宋" w:cs="仿宋"/>
          <w:kern w:val="2"/>
          <w:sz w:val="32"/>
          <w:szCs w:val="32"/>
          <w:lang w:val="zh-CN" w:eastAsia="zh-CN" w:bidi="ar-SA"/>
        </w:rPr>
        <w:t>（十三）其他不符合法律、法规或者食品安全标准的食品、食品添加剂、食品相关产品</w:t>
      </w:r>
      <w:r>
        <w:rPr>
          <w:rFonts w:hint="eastAsia" w:ascii="仿宋" w:hAnsi="仿宋" w:eastAsia="仿宋" w:cs="仿宋"/>
          <w:kern w:val="2"/>
          <w:sz w:val="32"/>
          <w:szCs w:val="32"/>
          <w:lang w:val="en-US" w:eastAsia="zh-CN" w:bidi="ar-SA"/>
        </w:rPr>
        <w:t>”的规定，于2026年3月25日经我局部门负责人批准予以立案。当事人在法定期限内未对检验结果提出异议。2026年5月6日，办案人员对当事人法定代表人白禹进行了调查询问，形成《询问笔录》1份。</w:t>
      </w:r>
    </w:p>
    <w:p w14:paraId="785498EE">
      <w:pPr>
        <w:keepNext w:val="0"/>
        <w:keepLines w:val="0"/>
        <w:pageBreakBefore w:val="0"/>
        <w:widowControl/>
        <w:kinsoku/>
        <w:wordWrap w:val="0"/>
        <w:overflowPunct/>
        <w:topLinePunct w:val="0"/>
        <w:autoSpaceDE/>
        <w:autoSpaceDN/>
        <w:bidi w:val="0"/>
        <w:adjustRightInd/>
        <w:snapToGrid/>
        <w:spacing w:line="440" w:lineRule="exact"/>
        <w:ind w:leftChars="0" w:firstLine="640" w:firstLineChars="20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案件调查期间，当事人向我局提交了营业执照、食品生产许可证、法定代表人身份证复印件各1份，以及涉案产品的出厂检验报告、生产记录和销售记录等材料。</w:t>
      </w:r>
    </w:p>
    <w:p w14:paraId="57D45045">
      <w:pPr>
        <w:keepNext w:val="0"/>
        <w:keepLines w:val="0"/>
        <w:pageBreakBefore w:val="0"/>
        <w:widowControl/>
        <w:kinsoku/>
        <w:wordWrap w:val="0"/>
        <w:overflowPunct/>
        <w:topLinePunct w:val="0"/>
        <w:autoSpaceDE/>
        <w:autoSpaceDN/>
        <w:bidi w:val="0"/>
        <w:adjustRightInd/>
        <w:snapToGrid/>
        <w:spacing w:line="440" w:lineRule="exact"/>
        <w:ind w:leftChars="0" w:firstLine="640" w:firstLineChars="20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经调查，涉案产品共生产40罐，销售价5.5元/罐，货值220元，出厂检验13罐，其余的27罐销售完毕，当事人无法提供生产成本的佐证材料，因此违法所得以销售价计算，为148.50元。</w:t>
      </w:r>
    </w:p>
    <w:p w14:paraId="41FA8A02">
      <w:pPr>
        <w:keepNext w:val="0"/>
        <w:keepLines w:val="0"/>
        <w:pageBreakBefore w:val="0"/>
        <w:widowControl/>
        <w:kinsoku/>
        <w:wordWrap w:val="0"/>
        <w:overflowPunct/>
        <w:topLinePunct w:val="0"/>
        <w:autoSpaceDE/>
        <w:autoSpaceDN/>
        <w:bidi w:val="0"/>
        <w:adjustRightInd/>
        <w:snapToGrid/>
        <w:spacing w:line="440" w:lineRule="exact"/>
        <w:ind w:leftChars="0" w:firstLine="640" w:firstLineChars="20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调查认定的事实：</w:t>
      </w:r>
    </w:p>
    <w:p w14:paraId="15D39E7B">
      <w:pPr>
        <w:keepNext w:val="0"/>
        <w:keepLines w:val="0"/>
        <w:pageBreakBefore w:val="0"/>
        <w:widowControl/>
        <w:kinsoku/>
        <w:wordWrap w:val="0"/>
        <w:overflowPunct/>
        <w:topLinePunct w:val="0"/>
        <w:autoSpaceDE/>
        <w:autoSpaceDN/>
        <w:bidi w:val="0"/>
        <w:adjustRightInd/>
        <w:snapToGrid/>
        <w:spacing w:line="440" w:lineRule="exact"/>
        <w:ind w:leftChars="0" w:firstLine="640" w:firstLineChars="20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 xml:space="preserve">现已查明，当事人生产不符合食品安全标准的食品的违法事实存在。               </w:t>
      </w:r>
    </w:p>
    <w:p w14:paraId="477E03E4">
      <w:pPr>
        <w:keepNext w:val="0"/>
        <w:keepLines w:val="0"/>
        <w:pageBreakBefore w:val="0"/>
        <w:widowControl/>
        <w:kinsoku/>
        <w:wordWrap w:val="0"/>
        <w:overflowPunct/>
        <w:topLinePunct w:val="0"/>
        <w:autoSpaceDE/>
        <w:autoSpaceDN/>
        <w:bidi w:val="0"/>
        <w:adjustRightInd/>
        <w:snapToGrid/>
        <w:spacing w:line="440" w:lineRule="exact"/>
        <w:ind w:leftChars="0" w:firstLine="640" w:firstLineChars="20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上述事实，主要有以下证据证明：</w:t>
      </w:r>
    </w:p>
    <w:p w14:paraId="1D941CD0">
      <w:pPr>
        <w:keepNext w:val="0"/>
        <w:keepLines w:val="0"/>
        <w:pageBreakBefore w:val="0"/>
        <w:widowControl/>
        <w:kinsoku/>
        <w:wordWrap w:val="0"/>
        <w:overflowPunct/>
        <w:topLinePunct w:val="0"/>
        <w:autoSpaceDE/>
        <w:autoSpaceDN/>
        <w:bidi w:val="0"/>
        <w:adjustRightInd/>
        <w:snapToGrid/>
        <w:spacing w:line="440" w:lineRule="exact"/>
        <w:ind w:leftChars="0" w:firstLine="640" w:firstLineChars="20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1、山东食裕轩生物科技有限公司的《营业执照》和《食品生产许可证》复印件各1份，证明当事人是具有合法主体资格的食品生产企业；</w:t>
      </w:r>
    </w:p>
    <w:p w14:paraId="6F16C7F9">
      <w:pPr>
        <w:keepNext w:val="0"/>
        <w:keepLines w:val="0"/>
        <w:pageBreakBefore w:val="0"/>
        <w:widowControl/>
        <w:kinsoku/>
        <w:wordWrap w:val="0"/>
        <w:overflowPunct/>
        <w:topLinePunct w:val="0"/>
        <w:autoSpaceDE/>
        <w:autoSpaceDN/>
        <w:bidi w:val="0"/>
        <w:adjustRightInd/>
        <w:snapToGrid/>
        <w:spacing w:line="440" w:lineRule="exact"/>
        <w:ind w:left="0" w:leftChars="0" w:firstLine="640" w:firstLineChars="20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2、山东食裕轩生物科技有限公司法定代表人白禹身份证复印件1份，证明被调查人身份信息；</w:t>
      </w:r>
    </w:p>
    <w:p w14:paraId="5B85E506">
      <w:pPr>
        <w:keepNext w:val="0"/>
        <w:keepLines w:val="0"/>
        <w:pageBreakBefore w:val="0"/>
        <w:widowControl/>
        <w:kinsoku/>
        <w:wordWrap w:val="0"/>
        <w:overflowPunct/>
        <w:topLinePunct w:val="0"/>
        <w:autoSpaceDE/>
        <w:autoSpaceDN/>
        <w:bidi w:val="0"/>
        <w:adjustRightInd/>
        <w:snapToGrid/>
        <w:spacing w:line="440" w:lineRule="exact"/>
        <w:ind w:left="0" w:leftChars="0" w:firstLine="640" w:firstLineChars="20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3、食品安全抽样检验抽样单（非食用农产品）、青岛谱尼测试有限公司出具的检验报告（№：LJ-CSP-2024第2</w:t>
      </w:r>
      <w:bookmarkStart w:id="12" w:name="_GoBack"/>
      <w:bookmarkEnd w:id="12"/>
      <w:r>
        <w:rPr>
          <w:rFonts w:hint="eastAsia" w:ascii="仿宋" w:hAnsi="仿宋" w:eastAsia="仿宋" w:cs="仿宋"/>
          <w:kern w:val="2"/>
          <w:sz w:val="32"/>
          <w:szCs w:val="32"/>
          <w:lang w:val="en-US" w:eastAsia="zh-CN" w:bidi="ar-SA"/>
        </w:rPr>
        <w:t>8719）各1份，证明当事人生产的奇亚籽坚果莲子羹（生产日期为2026-02-20）抽样检验不合格的情况；</w:t>
      </w:r>
    </w:p>
    <w:p w14:paraId="17E1D618">
      <w:pPr>
        <w:keepNext w:val="0"/>
        <w:keepLines w:val="0"/>
        <w:pageBreakBefore w:val="0"/>
        <w:widowControl/>
        <w:kinsoku/>
        <w:wordWrap w:val="0"/>
        <w:overflowPunct/>
        <w:topLinePunct w:val="0"/>
        <w:autoSpaceDE/>
        <w:autoSpaceDN/>
        <w:bidi w:val="0"/>
        <w:adjustRightInd/>
        <w:snapToGrid/>
        <w:spacing w:line="440" w:lineRule="exact"/>
        <w:ind w:left="0" w:leftChars="0" w:firstLine="640" w:firstLineChars="20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4、《现场笔录》1份，证明抽检报告送达及现场检查情况；</w:t>
      </w:r>
    </w:p>
    <w:p w14:paraId="18612923">
      <w:pPr>
        <w:keepNext w:val="0"/>
        <w:keepLines w:val="0"/>
        <w:pageBreakBefore w:val="0"/>
        <w:widowControl/>
        <w:kinsoku/>
        <w:wordWrap w:val="0"/>
        <w:overflowPunct/>
        <w:topLinePunct w:val="0"/>
        <w:autoSpaceDE/>
        <w:autoSpaceDN/>
        <w:bidi w:val="0"/>
        <w:adjustRightInd/>
        <w:snapToGrid/>
        <w:spacing w:line="440" w:lineRule="exact"/>
        <w:ind w:left="0" w:leftChars="0" w:firstLine="640" w:firstLineChars="20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5、《询问笔录》1份，证明当事人生产涉案食品的数量、货值金额、违法所得；</w:t>
      </w:r>
    </w:p>
    <w:p w14:paraId="6FDAC53B">
      <w:pPr>
        <w:keepNext w:val="0"/>
        <w:keepLines w:val="0"/>
        <w:pageBreakBefore w:val="0"/>
        <w:widowControl/>
        <w:kinsoku/>
        <w:wordWrap w:val="0"/>
        <w:overflowPunct/>
        <w:topLinePunct w:val="0"/>
        <w:autoSpaceDE/>
        <w:autoSpaceDN/>
        <w:bidi w:val="0"/>
        <w:adjustRightInd/>
        <w:snapToGrid/>
        <w:spacing w:line="440" w:lineRule="exact"/>
        <w:ind w:leftChars="0" w:firstLine="640" w:firstLineChars="20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6.涉案产品生产生产记录、产品出厂检验报告及销售记录的复印件各1份，证明涉案奇亚籽坚果莲子羹生产与销售情况；</w:t>
      </w:r>
    </w:p>
    <w:p w14:paraId="1CA52244">
      <w:pPr>
        <w:keepNext w:val="0"/>
        <w:keepLines w:val="0"/>
        <w:pageBreakBefore w:val="0"/>
        <w:widowControl/>
        <w:kinsoku/>
        <w:wordWrap w:val="0"/>
        <w:overflowPunct/>
        <w:topLinePunct w:val="0"/>
        <w:autoSpaceDE/>
        <w:autoSpaceDN/>
        <w:bidi w:val="0"/>
        <w:adjustRightInd/>
        <w:snapToGrid/>
        <w:spacing w:line="440" w:lineRule="exact"/>
        <w:ind w:leftChars="0" w:firstLine="640" w:firstLineChars="200"/>
        <w:jc w:val="both"/>
        <w:textAlignment w:val="auto"/>
        <w:rPr>
          <w:rFonts w:hint="eastAsia" w:ascii="仿宋" w:hAnsi="仿宋" w:eastAsia="仿宋" w:cs="仿宋"/>
          <w:bCs/>
          <w:color w:val="000000"/>
          <w:kern w:val="0"/>
          <w:sz w:val="32"/>
          <w:szCs w:val="32"/>
          <w:u w:val="none"/>
          <w:lang w:val="en-US" w:eastAsia="zh-CN" w:bidi="ar-SA"/>
        </w:rPr>
      </w:pPr>
      <w:r>
        <w:rPr>
          <w:rFonts w:hint="eastAsia" w:ascii="仿宋" w:hAnsi="仿宋" w:eastAsia="仿宋" w:cs="仿宋"/>
          <w:bCs/>
          <w:color w:val="000000"/>
          <w:kern w:val="0"/>
          <w:sz w:val="32"/>
          <w:szCs w:val="32"/>
          <w:u w:val="none"/>
          <w:lang w:val="en-US" w:eastAsia="zh-CN" w:bidi="ar-SA"/>
        </w:rPr>
        <w:t>我局执法人员于2026年8月3日向当事人送达了薛市监罚告〔2026〕701号《行政处罚告知书》，告知当事人我局拟作出行政处罚的事实、理由、依据及处罚内容。当事人在规定时间内未提出陈述、申辩意见，亦未申请听证。</w:t>
      </w:r>
    </w:p>
    <w:p w14:paraId="0F21A0A4">
      <w:pPr>
        <w:keepNext w:val="0"/>
        <w:keepLines w:val="0"/>
        <w:pageBreakBefore w:val="0"/>
        <w:widowControl/>
        <w:kinsoku/>
        <w:wordWrap w:val="0"/>
        <w:overflowPunct/>
        <w:topLinePunct w:val="0"/>
        <w:autoSpaceDE/>
        <w:autoSpaceDN/>
        <w:bidi w:val="0"/>
        <w:adjustRightInd/>
        <w:snapToGrid/>
        <w:spacing w:line="440" w:lineRule="exact"/>
        <w:ind w:leftChars="0" w:firstLine="640" w:firstLineChars="20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本局认为，当事人生产不符合食品安全标准的食品的行为，涉嫌违反了《中华人民共和国食品安全法》</w:t>
      </w:r>
      <w:r>
        <w:rPr>
          <w:rFonts w:hint="eastAsia" w:ascii="仿宋" w:hAnsi="仿宋" w:eastAsia="仿宋" w:cs="仿宋"/>
          <w:kern w:val="2"/>
          <w:sz w:val="32"/>
          <w:szCs w:val="32"/>
          <w:lang w:val="zh-CN" w:eastAsia="zh-CN" w:bidi="ar-SA"/>
        </w:rPr>
        <w:t>第三十四条</w:t>
      </w:r>
      <w:r>
        <w:rPr>
          <w:rFonts w:hint="eastAsia" w:ascii="仿宋" w:hAnsi="仿宋" w:eastAsia="仿宋" w:cs="仿宋"/>
          <w:kern w:val="2"/>
          <w:sz w:val="32"/>
          <w:szCs w:val="32"/>
          <w:lang w:val="en-US" w:eastAsia="zh-CN" w:bidi="ar-SA"/>
        </w:rPr>
        <w:t>第一款第（十三）项的规定，构成生产不符合食品安全标准的食品的违法行为。</w:t>
      </w:r>
    </w:p>
    <w:p w14:paraId="1F306E45">
      <w:pPr>
        <w:keepNext w:val="0"/>
        <w:keepLines w:val="0"/>
        <w:pageBreakBefore w:val="0"/>
        <w:widowControl/>
        <w:kinsoku/>
        <w:wordWrap w:val="0"/>
        <w:overflowPunct/>
        <w:topLinePunct w:val="0"/>
        <w:autoSpaceDE/>
        <w:autoSpaceDN/>
        <w:bidi w:val="0"/>
        <w:adjustRightInd/>
        <w:snapToGrid/>
        <w:spacing w:line="440" w:lineRule="exact"/>
        <w:ind w:leftChars="0" w:firstLine="640" w:firstLineChars="20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鉴于当事人如实陈述违法事实，涉案货值金额较小，违法行为轻微，社会危害性小，符合《山东省市场监督管理行政处罚裁量权适用规则》第十二条第一款第（三）项、第（四）项“当事人有下列情形之一，可以从轻或者减轻处罚：（三）积极配合市场监督管理部门调查并主动提供证据材料的；（四）违法行为轻微，社会危害性小的；”中关于可以从轻处罚的规定情形。</w:t>
      </w:r>
    </w:p>
    <w:p w14:paraId="59CEA908">
      <w:pPr>
        <w:keepNext w:val="0"/>
        <w:keepLines w:val="0"/>
        <w:pageBreakBefore w:val="0"/>
        <w:widowControl/>
        <w:kinsoku/>
        <w:wordWrap w:val="0"/>
        <w:overflowPunct/>
        <w:topLinePunct w:val="0"/>
        <w:autoSpaceDE/>
        <w:autoSpaceDN/>
        <w:bidi w:val="0"/>
        <w:adjustRightInd/>
        <w:snapToGrid/>
        <w:spacing w:line="440" w:lineRule="exact"/>
        <w:ind w:leftChars="0" w:firstLine="640" w:firstLineChars="20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2025年3月20日当事人生产的奇亚籽坚果莲子羹，因霉菌项目不符合GB 19640-2016《食品安全国家标准 冲调谷物制品》要求，我局于2025年09月01日对当事人予以处罚（薛市监处罚〔2025〕84号《行政处罚决定书》）。依据《中华人民共和国食品安全法实施条例》第六十七条第一款第（五）项“有下列情形之一的，属于食品安全法第一百二十三条至第一百二十六条、第一百三十二条以及本条例第七十二条、第七十三条规定的情节严重情形：...（五）因违反食品安全法律、法规受到行政处罚后1年内又实施同一性质的食品安全违法行为，或者因违反食品安全法律、法规受到刑事处罚后又实施食品安全违法行为...”和第二款“对情节严重的违法行为处以罚款时，应当依法从重从严。”的规定 ，应当从重处罚。</w:t>
      </w:r>
    </w:p>
    <w:p w14:paraId="4D0AF71D">
      <w:pPr>
        <w:keepNext w:val="0"/>
        <w:keepLines w:val="0"/>
        <w:pageBreakBefore w:val="0"/>
        <w:widowControl/>
        <w:kinsoku/>
        <w:wordWrap w:val="0"/>
        <w:overflowPunct/>
        <w:topLinePunct w:val="0"/>
        <w:autoSpaceDE/>
        <w:autoSpaceDN/>
        <w:bidi w:val="0"/>
        <w:adjustRightInd/>
        <w:snapToGrid/>
        <w:spacing w:line="440" w:lineRule="exact"/>
        <w:ind w:leftChars="0" w:firstLine="640" w:firstLineChars="20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依据《山东省市场监督管理行政处罚裁量权适用规则》第十八条“当事人既有从轻或者减轻行政处罚情节，又有从重行政处罚情节的，市场监督管理部门应当结合案件情况综合考虑后作出裁量决定。”及《中华人民共和国行政处罚法》第五条第二款“设定和实施行政处罚必须以事实为依据，与违法行为的事实、性质、情节以及社会危害程度相当”和第六条:“实施行政处罚、纠正违法行为，应当坚持处罚与教育相结合，教育公民、法人或者其他组织自觉守法”的规定，</w:t>
      </w:r>
      <w:bookmarkStart w:id="7" w:name="_Toc7891"/>
      <w:bookmarkStart w:id="8" w:name="_Toc20286"/>
      <w:r>
        <w:rPr>
          <w:rFonts w:hint="eastAsia" w:ascii="仿宋" w:hAnsi="仿宋" w:eastAsia="仿宋" w:cs="仿宋"/>
          <w:kern w:val="2"/>
          <w:sz w:val="32"/>
          <w:szCs w:val="32"/>
          <w:lang w:val="en-US" w:eastAsia="zh-CN" w:bidi="ar-SA"/>
        </w:rPr>
        <w:t>参照《山东省市场监督管理行政处罚裁量基准（2024版）》“九、食品安全监督管理 六、生产经营不符合法律、法规或者食品安全标准的食品、食品添加剂：（二）裁量标准 1.【较轻】生产经营产品不合格指标不对人体健康安全产生危害，或者符合《山东省市场监督管理行政处罚裁量权适用规则》第十一条、第十二条规定的从轻情形的，没收违法所得和违法生产经营的食品、食品添加剂，并可以没收用于违法生产经营的工具、设备、原料等物品；货值金额不足一万元的，并处五万元以上六万五千元以下的罚款；货值金额一万元以上的，并处货值金额10倍以上13倍以下的罚款”的规定，结合案情综合裁量，经我局集体讨论决定，给予当事人从轻处罚。</w:t>
      </w:r>
    </w:p>
    <w:p w14:paraId="28DC0E09">
      <w:pPr>
        <w:keepNext w:val="0"/>
        <w:keepLines w:val="0"/>
        <w:pageBreakBefore w:val="0"/>
        <w:widowControl/>
        <w:kinsoku/>
        <w:wordWrap w:val="0"/>
        <w:overflowPunct/>
        <w:topLinePunct w:val="0"/>
        <w:autoSpaceDE/>
        <w:autoSpaceDN/>
        <w:bidi w:val="0"/>
        <w:adjustRightInd/>
        <w:snapToGrid/>
        <w:spacing w:line="440" w:lineRule="exact"/>
        <w:ind w:leftChars="0" w:firstLine="640" w:firstLineChars="20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当事人生产不符合食品安全标准的食品的违法行为，违反了《中华人民共和国食品安全法》</w:t>
      </w:r>
      <w:r>
        <w:rPr>
          <w:rFonts w:hint="eastAsia" w:ascii="仿宋" w:hAnsi="仿宋" w:eastAsia="仿宋" w:cs="仿宋"/>
          <w:kern w:val="2"/>
          <w:sz w:val="32"/>
          <w:szCs w:val="32"/>
          <w:lang w:val="zh-CN" w:eastAsia="zh-CN" w:bidi="ar-SA"/>
        </w:rPr>
        <w:t>第三十四条</w:t>
      </w:r>
      <w:r>
        <w:rPr>
          <w:rFonts w:hint="eastAsia" w:ascii="仿宋" w:hAnsi="仿宋" w:eastAsia="仿宋" w:cs="仿宋"/>
          <w:kern w:val="2"/>
          <w:sz w:val="32"/>
          <w:szCs w:val="32"/>
          <w:lang w:val="en-US" w:eastAsia="zh-CN" w:bidi="ar-SA"/>
        </w:rPr>
        <w:t>第</w:t>
      </w:r>
      <w:r>
        <w:rPr>
          <w:rFonts w:hint="eastAsia" w:ascii="仿宋" w:hAnsi="仿宋" w:eastAsia="仿宋" w:cs="仿宋"/>
          <w:kern w:val="2"/>
          <w:sz w:val="32"/>
          <w:szCs w:val="32"/>
          <w:lang w:val="zh-CN" w:eastAsia="zh-CN" w:bidi="ar-SA"/>
        </w:rPr>
        <w:t>（十三）</w:t>
      </w:r>
      <w:r>
        <w:rPr>
          <w:rFonts w:hint="eastAsia" w:ascii="仿宋" w:hAnsi="仿宋" w:eastAsia="仿宋" w:cs="仿宋"/>
          <w:kern w:val="2"/>
          <w:sz w:val="32"/>
          <w:szCs w:val="32"/>
          <w:lang w:val="en-US" w:eastAsia="zh-CN" w:bidi="ar-SA"/>
        </w:rPr>
        <w:t>项的规定，依据《中华人民共和国食品安全法》第一百二十四条第二款：“违反本法规定，有下列情形之一，尚不构成犯罪的，由县级以上人民政府食品安全监督管理部门没收违法所得和违法生产经营的食品、食品添加剂，并可以没收用于违法生产经营的工具、设备、原料等物品；违法生产经营的食品、食品添加剂货值金额不足一万元的，并处五万元以上十万元以下罚款；货值金额一万元以上的，并处货值金额十倍以上二十倍以下罚款；情节严重的，吊销许可证：除前款和本法第一百二十三条、第一百二十五条规定的情形外，生产经营不符合法律、法规或者食品安全标准的食品、食品添加剂的，依照前款规定给予处罚”的规定，</w:t>
      </w:r>
      <w:bookmarkEnd w:id="7"/>
      <w:bookmarkEnd w:id="8"/>
      <w:r>
        <w:rPr>
          <w:rFonts w:hint="eastAsia" w:ascii="仿宋" w:hAnsi="仿宋" w:eastAsia="仿宋" w:cs="仿宋"/>
          <w:kern w:val="2"/>
          <w:sz w:val="32"/>
          <w:szCs w:val="32"/>
          <w:lang w:val="en-US" w:eastAsia="zh-CN" w:bidi="ar-SA"/>
        </w:rPr>
        <w:t>没收违法所得148.50元，并给予罚款51000元的行政处罚。</w:t>
      </w:r>
      <w:bookmarkStart w:id="9" w:name="_Toc1665"/>
    </w:p>
    <w:bookmarkEnd w:id="9"/>
    <w:p w14:paraId="40E9DE93">
      <w:pPr>
        <w:keepNext w:val="0"/>
        <w:keepLines w:val="0"/>
        <w:pageBreakBefore w:val="0"/>
        <w:widowControl/>
        <w:kinsoku/>
        <w:wordWrap w:val="0"/>
        <w:overflowPunct/>
        <w:topLinePunct w:val="0"/>
        <w:autoSpaceDE/>
        <w:autoSpaceDN/>
        <w:bidi w:val="0"/>
        <w:adjustRightInd/>
        <w:snapToGrid/>
        <w:spacing w:line="440" w:lineRule="exact"/>
        <w:ind w:leftChars="0" w:firstLine="640" w:firstLineChars="20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综上，根据《中华人民共和国行政处罚法》第二十八条第一款“行政机关实施行政处罚时，应当责令当事人改正或者限期改正违法行为。”的规定，责令当事人立即改正违法行为，并给予以下处罚：</w:t>
      </w:r>
    </w:p>
    <w:p w14:paraId="3FDB7E80">
      <w:pPr>
        <w:keepNext w:val="0"/>
        <w:keepLines w:val="0"/>
        <w:pageBreakBefore w:val="0"/>
        <w:widowControl/>
        <w:numPr>
          <w:ilvl w:val="0"/>
          <w:numId w:val="3"/>
        </w:numPr>
        <w:kinsoku/>
        <w:wordWrap w:val="0"/>
        <w:overflowPunct/>
        <w:topLinePunct w:val="0"/>
        <w:autoSpaceDE/>
        <w:autoSpaceDN/>
        <w:bidi w:val="0"/>
        <w:adjustRightInd/>
        <w:snapToGrid/>
        <w:spacing w:line="440" w:lineRule="exact"/>
        <w:ind w:leftChars="0" w:firstLine="640" w:firstLineChars="20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没收违法所得壹佰肆拾捌元伍角整（¥148.50）；</w:t>
      </w:r>
    </w:p>
    <w:p w14:paraId="56FDBF52">
      <w:pPr>
        <w:keepNext w:val="0"/>
        <w:keepLines w:val="0"/>
        <w:pageBreakBefore w:val="0"/>
        <w:widowControl/>
        <w:numPr>
          <w:ilvl w:val="0"/>
          <w:numId w:val="3"/>
        </w:numPr>
        <w:kinsoku/>
        <w:wordWrap w:val="0"/>
        <w:overflowPunct/>
        <w:topLinePunct w:val="0"/>
        <w:autoSpaceDE/>
        <w:autoSpaceDN/>
        <w:bidi w:val="0"/>
        <w:adjustRightInd/>
        <w:snapToGrid/>
        <w:spacing w:line="440" w:lineRule="exact"/>
        <w:ind w:left="0" w:leftChars="0" w:firstLine="640" w:firstLineChars="20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罚款人民币伍万壹仟元整（¥51000.00）。</w:t>
      </w:r>
    </w:p>
    <w:p w14:paraId="022C5218">
      <w:pPr>
        <w:keepNext w:val="0"/>
        <w:keepLines w:val="0"/>
        <w:pageBreakBefore w:val="0"/>
        <w:widowControl/>
        <w:numPr>
          <w:ilvl w:val="0"/>
          <w:numId w:val="0"/>
        </w:numPr>
        <w:kinsoku/>
        <w:wordWrap w:val="0"/>
        <w:overflowPunct/>
        <w:topLinePunct w:val="0"/>
        <w:autoSpaceDE/>
        <w:autoSpaceDN/>
        <w:bidi w:val="0"/>
        <w:adjustRightInd/>
        <w:snapToGrid/>
        <w:spacing w:line="440" w:lineRule="exact"/>
        <w:ind w:firstLine="640" w:firstLineChars="200"/>
        <w:jc w:val="both"/>
        <w:textAlignment w:val="auto"/>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罚没合计人民币伍万壹仟壹佰肆拾捌元伍角整（¥51148.50）。</w:t>
      </w:r>
    </w:p>
    <w:p w14:paraId="747510EB">
      <w:pPr>
        <w:keepNext w:val="0"/>
        <w:keepLines w:val="0"/>
        <w:pageBreakBefore w:val="0"/>
        <w:widowControl w:val="0"/>
        <w:kinsoku/>
        <w:wordWrap w:val="0"/>
        <w:overflowPunct/>
        <w:topLinePunct w:val="0"/>
        <w:autoSpaceDE/>
        <w:autoSpaceDN/>
        <w:bidi w:val="0"/>
        <w:adjustRightInd/>
        <w:snapToGrid/>
        <w:spacing w:line="420" w:lineRule="exact"/>
        <w:ind w:firstLine="640" w:firstLineChars="200"/>
        <w:jc w:val="both"/>
        <w:textAlignment w:val="auto"/>
        <w:rPr>
          <w:rFonts w:hint="eastAsia" w:ascii="仿宋" w:hAnsi="仿宋" w:eastAsia="仿宋" w:cs="仿宋"/>
          <w:color w:val="000000"/>
          <w:spacing w:val="0"/>
          <w:w w:val="100"/>
          <w:sz w:val="32"/>
          <w:szCs w:val="32"/>
          <w:u w:val="none"/>
          <w:lang w:val="en-US" w:eastAsia="zh-CN"/>
        </w:rPr>
      </w:pPr>
      <w:r>
        <w:rPr>
          <w:rFonts w:hint="eastAsia" w:ascii="仿宋" w:hAnsi="仿宋" w:eastAsia="仿宋" w:cs="仿宋"/>
          <w:color w:val="000000"/>
          <w:spacing w:val="0"/>
          <w:w w:val="100"/>
          <w:sz w:val="32"/>
          <w:szCs w:val="32"/>
          <w:u w:val="none"/>
          <w:lang w:val="en-US" w:eastAsia="zh-CN"/>
        </w:rPr>
        <w:t>依据《中华人民共和国行政处罚法》第六十七条第三款规定，请在接到本处罚决定书之日起十五日内携缴款码到（工、农、中、建）任一银行网点或者网上银行缴纳罚款，也可微信关注山东财政公众号，点击微服务--非税缴费，缴纳罚款。</w:t>
      </w:r>
    </w:p>
    <w:p w14:paraId="12B94839">
      <w:pPr>
        <w:keepNext w:val="0"/>
        <w:keepLines w:val="0"/>
        <w:pageBreakBefore w:val="0"/>
        <w:widowControl w:val="0"/>
        <w:kinsoku/>
        <w:wordWrap w:val="0"/>
        <w:overflowPunct/>
        <w:topLinePunct w:val="0"/>
        <w:autoSpaceDE/>
        <w:autoSpaceDN/>
        <w:bidi w:val="0"/>
        <w:adjustRightInd/>
        <w:snapToGrid/>
        <w:spacing w:line="420" w:lineRule="exact"/>
        <w:ind w:firstLine="640" w:firstLineChars="200"/>
        <w:jc w:val="both"/>
        <w:textAlignment w:val="auto"/>
        <w:rPr>
          <w:rFonts w:hint="eastAsia" w:ascii="仿宋" w:hAnsi="仿宋" w:eastAsia="仿宋" w:cs="仿宋"/>
          <w:color w:val="000000"/>
          <w:spacing w:val="0"/>
          <w:w w:val="100"/>
          <w:sz w:val="32"/>
          <w:szCs w:val="32"/>
          <w:u w:val="none"/>
          <w:lang w:val="en-US" w:eastAsia="zh-CN"/>
        </w:rPr>
      </w:pPr>
      <w:r>
        <w:rPr>
          <w:rFonts w:hint="eastAsia" w:ascii="仿宋" w:hAnsi="仿宋" w:eastAsia="仿宋" w:cs="仿宋"/>
          <w:color w:val="000000"/>
          <w:spacing w:val="0"/>
          <w:w w:val="100"/>
          <w:sz w:val="32"/>
          <w:szCs w:val="32"/>
          <w:u w:val="none"/>
          <w:lang w:val="en-US" w:eastAsia="zh-CN"/>
        </w:rPr>
        <w:t>到期不缴纳罚没款的，依据《中华人民共和国行政处罚法》第七十二条的规定，本局将每日按罚款数额的百分之三加处罚款，并依法申请人民法院强制执行。</w:t>
      </w:r>
    </w:p>
    <w:p w14:paraId="0E4E6DD9">
      <w:pPr>
        <w:keepNext w:val="0"/>
        <w:keepLines w:val="0"/>
        <w:pageBreakBefore w:val="0"/>
        <w:widowControl w:val="0"/>
        <w:kinsoku/>
        <w:wordWrap w:val="0"/>
        <w:overflowPunct/>
        <w:topLinePunct w:val="0"/>
        <w:autoSpaceDE/>
        <w:autoSpaceDN/>
        <w:bidi w:val="0"/>
        <w:adjustRightInd/>
        <w:snapToGrid/>
        <w:spacing w:line="420" w:lineRule="exact"/>
        <w:ind w:firstLine="640" w:firstLineChars="200"/>
        <w:jc w:val="both"/>
        <w:textAlignment w:val="auto"/>
        <w:rPr>
          <w:rFonts w:hint="eastAsia" w:ascii="仿宋" w:hAnsi="仿宋" w:eastAsia="仿宋" w:cs="仿宋"/>
          <w:b w:val="0"/>
          <w:bCs/>
          <w:color w:val="auto"/>
          <w:kern w:val="2"/>
          <w:sz w:val="32"/>
          <w:szCs w:val="32"/>
          <w:u w:val="single"/>
          <w:lang w:val="en-US" w:eastAsia="zh-CN" w:bidi="ar-SA"/>
        </w:rPr>
      </w:pPr>
      <w:r>
        <w:rPr>
          <w:rFonts w:hint="eastAsia" w:ascii="仿宋" w:hAnsi="仿宋" w:eastAsia="仿宋" w:cs="仿宋"/>
          <w:color w:val="000000"/>
          <w:spacing w:val="0"/>
          <w:w w:val="100"/>
          <w:sz w:val="32"/>
          <w:szCs w:val="32"/>
          <w:u w:val="none"/>
          <w:lang w:val="en-US" w:eastAsia="zh-CN"/>
        </w:rPr>
        <w:t>如不服本处罚决定，可在接到本处罚决定书之日起六十日内向薛城区人民政府申请行政复议，也可以于六个月内依法向薛城区人民法院等有管辖权的人民法院提起行政诉讼。申请行政复议或者提起行政诉讼期间，行政处罚不停止执行</w:t>
      </w:r>
      <w:r>
        <w:rPr>
          <w:rFonts w:hint="eastAsia" w:ascii="仿宋" w:hAnsi="仿宋" w:eastAsia="仿宋" w:cs="仿宋"/>
          <w:b w:val="0"/>
          <w:bCs/>
          <w:color w:val="auto"/>
          <w:kern w:val="2"/>
          <w:sz w:val="32"/>
          <w:szCs w:val="32"/>
          <w:u w:val="single"/>
          <w:lang w:val="en-US" w:eastAsia="zh-CN" w:bidi="ar-SA"/>
        </w:rPr>
        <w:t>。(网上提交行政复议申请网址:https://12348.shandong.gov.cn/fysq)。</w:t>
      </w:r>
    </w:p>
    <w:p w14:paraId="36EEC282">
      <w:pPr>
        <w:pStyle w:val="3"/>
        <w:keepNext w:val="0"/>
        <w:keepLines w:val="0"/>
        <w:pageBreakBefore w:val="0"/>
        <w:widowControl w:val="0"/>
        <w:tabs>
          <w:tab w:val="left" w:pos="8395"/>
        </w:tabs>
        <w:kinsoku/>
        <w:wordWrap w:val="0"/>
        <w:overflowPunct/>
        <w:topLinePunct w:val="0"/>
        <w:autoSpaceDE w:val="0"/>
        <w:autoSpaceDN w:val="0"/>
        <w:bidi w:val="0"/>
        <w:adjustRightInd w:val="0"/>
        <w:snapToGrid/>
        <w:spacing w:line="440" w:lineRule="exact"/>
        <w:ind w:firstLine="640" w:firstLineChars="200"/>
        <w:textAlignment w:val="auto"/>
        <w:rPr>
          <w:rFonts w:hint="eastAsia" w:ascii="仿宋" w:hAnsi="仿宋" w:eastAsia="仿宋" w:cs="仿宋"/>
          <w:b w:val="0"/>
          <w:bCs/>
          <w:color w:val="auto"/>
          <w:u w:val="single"/>
          <w:lang w:val="en-US" w:eastAsia="zh-CN"/>
        </w:rPr>
      </w:pPr>
    </w:p>
    <w:p w14:paraId="177A686F">
      <w:pPr>
        <w:keepNext w:val="0"/>
        <w:keepLines w:val="0"/>
        <w:pageBreakBefore w:val="0"/>
        <w:widowControl/>
        <w:kinsoku/>
        <w:overflowPunct/>
        <w:topLinePunct w:val="0"/>
        <w:bidi w:val="0"/>
        <w:snapToGrid w:val="0"/>
        <w:spacing w:line="440" w:lineRule="exact"/>
        <w:jc w:val="left"/>
        <w:textAlignment w:val="auto"/>
        <w:rPr>
          <w:rFonts w:hint="eastAsia" w:ascii="仿宋" w:hAnsi="仿宋" w:eastAsia="仿宋" w:cs="仿宋"/>
          <w:color w:val="auto"/>
          <w:sz w:val="32"/>
          <w:szCs w:val="32"/>
        </w:rPr>
      </w:pPr>
    </w:p>
    <w:p w14:paraId="7C616828">
      <w:pPr>
        <w:keepNext w:val="0"/>
        <w:keepLines w:val="0"/>
        <w:pageBreakBefore w:val="0"/>
        <w:widowControl/>
        <w:kinsoku/>
        <w:overflowPunct/>
        <w:topLinePunct w:val="0"/>
        <w:bidi w:val="0"/>
        <w:snapToGrid w:val="0"/>
        <w:spacing w:line="440" w:lineRule="exact"/>
        <w:ind w:firstLine="6240" w:firstLineChars="1950"/>
        <w:jc w:val="left"/>
        <w:textAlignment w:val="auto"/>
        <w:rPr>
          <w:rFonts w:hint="eastAsia" w:ascii="仿宋" w:hAnsi="仿宋" w:eastAsia="仿宋" w:cs="仿宋"/>
          <w:color w:val="auto"/>
          <w:sz w:val="32"/>
          <w:szCs w:val="32"/>
          <w:lang w:val="en-US" w:eastAsia="zh-Hans"/>
        </w:rPr>
      </w:pPr>
    </w:p>
    <w:p w14:paraId="05620C3B">
      <w:pPr>
        <w:keepNext w:val="0"/>
        <w:keepLines w:val="0"/>
        <w:pageBreakBefore w:val="0"/>
        <w:kinsoku/>
        <w:overflowPunct/>
        <w:topLinePunct w:val="0"/>
        <w:bidi w:val="0"/>
        <w:spacing w:line="440" w:lineRule="exact"/>
        <w:ind w:right="640" w:firstLine="601"/>
        <w:jc w:val="right"/>
        <w:textAlignment w:val="auto"/>
        <w:rPr>
          <w:rFonts w:hint="eastAsia" w:ascii="仿宋" w:hAnsi="仿宋" w:eastAsia="仿宋" w:cs="仿宋"/>
          <w:color w:val="auto"/>
          <w:sz w:val="32"/>
          <w:szCs w:val="32"/>
        </w:rPr>
      </w:pPr>
      <w:bookmarkStart w:id="10" w:name="DYNAMIC—DWXX—tAj_dwmc—2"/>
      <w:r>
        <w:rPr>
          <w:rFonts w:hint="eastAsia" w:ascii="仿宋" w:hAnsi="仿宋" w:eastAsia="仿宋" w:cs="仿宋"/>
          <w:color w:val="auto"/>
          <w:sz w:val="32"/>
          <w:lang w:val="en-US" w:eastAsia="zh-CN"/>
        </w:rPr>
        <w:t>枣庄市</w:t>
      </w:r>
      <w:r>
        <w:rPr>
          <w:rFonts w:hint="eastAsia" w:ascii="仿宋" w:hAnsi="仿宋" w:eastAsia="仿宋" w:cs="仿宋"/>
          <w:color w:val="auto"/>
          <w:sz w:val="32"/>
        </w:rPr>
        <w:t>薛城区市场监督管理局</w:t>
      </w:r>
      <w:bookmarkEnd w:id="10"/>
      <w:r>
        <w:rPr>
          <w:rFonts w:hint="eastAsia" w:ascii="仿宋" w:hAnsi="仿宋" w:eastAsia="仿宋" w:cs="仿宋"/>
          <w:color w:val="auto"/>
          <w:sz w:val="32"/>
          <w:szCs w:val="32"/>
        </w:rPr>
        <w:t xml:space="preserve">    </w:t>
      </w:r>
    </w:p>
    <w:p w14:paraId="5C9C65F5">
      <w:pPr>
        <w:keepNext w:val="0"/>
        <w:keepLines w:val="0"/>
        <w:pageBreakBefore w:val="0"/>
        <w:kinsoku/>
        <w:overflowPunct/>
        <w:topLinePunct w:val="0"/>
        <w:bidi w:val="0"/>
        <w:spacing w:line="440" w:lineRule="exact"/>
        <w:ind w:right="640" w:firstLine="601"/>
        <w:jc w:val="right"/>
        <w:textAlignment w:val="auto"/>
        <w:outlineLvl w:val="1"/>
        <w:rPr>
          <w:rFonts w:hint="eastAsia" w:ascii="仿宋" w:hAnsi="仿宋" w:eastAsia="仿宋" w:cs="仿宋"/>
          <w:color w:val="auto"/>
          <w:sz w:val="32"/>
          <w:szCs w:val="32"/>
        </w:rPr>
      </w:pPr>
    </w:p>
    <w:p w14:paraId="143ACE90">
      <w:pPr>
        <w:keepNext w:val="0"/>
        <w:keepLines w:val="0"/>
        <w:pageBreakBefore w:val="0"/>
        <w:widowControl w:val="0"/>
        <w:kinsoku/>
        <w:wordWrap/>
        <w:overflowPunct/>
        <w:topLinePunct w:val="0"/>
        <w:autoSpaceDE/>
        <w:autoSpaceDN/>
        <w:bidi w:val="0"/>
        <w:adjustRightInd/>
        <w:snapToGrid/>
        <w:spacing w:line="440" w:lineRule="exact"/>
        <w:ind w:left="0" w:leftChars="0" w:right="630" w:rightChars="300" w:firstLine="600" w:firstLineChars="0"/>
        <w:jc w:val="right"/>
        <w:textAlignment w:val="auto"/>
        <w:outlineLvl w:val="9"/>
        <w:rPr>
          <w:rFonts w:hint="eastAsia" w:ascii="仿宋" w:hAnsi="仿宋" w:eastAsia="仿宋" w:cs="仿宋"/>
          <w:color w:val="auto"/>
          <w:sz w:val="32"/>
          <w:szCs w:val="32"/>
        </w:rPr>
      </w:pPr>
      <w:bookmarkStart w:id="11" w:name="CALCULATE—TIME—NOW"/>
      <w:r>
        <w:rPr>
          <w:rFonts w:hint="eastAsia" w:ascii="仿宋" w:hAnsi="仿宋" w:eastAsia="仿宋" w:cs="仿宋"/>
          <w:color w:val="auto"/>
          <w:sz w:val="32"/>
        </w:rPr>
        <w:t>2026年8月11日</w:t>
      </w:r>
      <w:bookmarkEnd w:id="11"/>
      <w:r>
        <w:rPr>
          <w:rFonts w:hint="eastAsia" w:ascii="仿宋" w:hAnsi="仿宋" w:eastAsia="仿宋" w:cs="仿宋"/>
          <w:color w:val="auto"/>
          <w:sz w:val="32"/>
          <w:szCs w:val="32"/>
        </w:rPr>
        <w:t xml:space="preserve">  </w:t>
      </w:r>
    </w:p>
    <w:p w14:paraId="54C4151C">
      <w:pPr>
        <w:widowControl/>
        <w:snapToGrid w:val="0"/>
        <w:spacing w:line="520" w:lineRule="exact"/>
        <w:jc w:val="right"/>
        <w:rPr>
          <w:rFonts w:ascii="Times New Roman" w:hAnsi="Times New Roman" w:eastAsia="仿宋_GB2312" w:cs="Mongolian Baiti"/>
          <w:color w:val="auto"/>
          <w:sz w:val="32"/>
          <w:szCs w:val="32"/>
        </w:rPr>
      </w:pPr>
    </w:p>
    <w:p w14:paraId="5A47480E">
      <w:pPr>
        <w:pStyle w:val="3"/>
        <w:spacing w:before="1"/>
        <w:ind w:left="163"/>
        <w:rPr>
          <w:rFonts w:ascii="Times New Roman" w:hAnsi="Times New Roman" w:eastAsia="仿宋_GB2312" w:cs="仿宋"/>
          <w:bCs/>
          <w:color w:val="auto"/>
          <w:sz w:val="44"/>
          <w:szCs w:val="44"/>
        </w:rPr>
      </w:pPr>
      <w:r>
        <w:rPr>
          <w:rFonts w:ascii="Times New Roman" w:hAnsi="Times New Roman" w:eastAsia="仿宋_GB2312"/>
          <w:color w:val="auto"/>
          <w:sz w:val="32"/>
        </w:rPr>
        <mc:AlternateContent>
          <mc:Choice Requires="wps">
            <w:drawing>
              <wp:anchor distT="0" distB="0" distL="114300" distR="114300" simplePos="0" relativeHeight="251661312" behindDoc="0" locked="0" layoutInCell="1" allowOverlap="1">
                <wp:simplePos x="0" y="0"/>
                <wp:positionH relativeFrom="column">
                  <wp:posOffset>27305</wp:posOffset>
                </wp:positionH>
                <wp:positionV relativeFrom="paragraph">
                  <wp:posOffset>396875</wp:posOffset>
                </wp:positionV>
                <wp:extent cx="5550535" cy="635"/>
                <wp:effectExtent l="0" t="0" r="0" b="0"/>
                <wp:wrapNone/>
                <wp:docPr id="14" name="直接连接符 14"/>
                <wp:cNvGraphicFramePr/>
                <a:graphic xmlns:a="http://schemas.openxmlformats.org/drawingml/2006/main">
                  <a:graphicData uri="http://schemas.microsoft.com/office/word/2010/wordprocessingShape">
                    <wps:wsp>
                      <wps:cNvCnPr/>
                      <wps:spPr>
                        <a:xfrm>
                          <a:off x="0" y="0"/>
                          <a:ext cx="5550535" cy="635"/>
                        </a:xfrm>
                        <a:prstGeom prst="line">
                          <a:avLst/>
                        </a:prstGeom>
                        <a:ln w="15875" cap="flat"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2.15pt;margin-top:31.25pt;height:0.05pt;width:437.05pt;z-index:251661312;mso-width-relative:page;mso-height-relative:page;" filled="f" stroked="t" coordsize="21600,21600" o:gfxdata="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d&#10;1F2Z1gAAAAcBAAAPAAAAAAAAAAEAIAAAACIAAABkcnMvZG93bnJldi54bWxQSwECFAAUAAAACACH&#10;TuJAlk3HAe0BAADdAwAADgAAAAAAAAABACAAAAAlAQAAZHJzL2Uyb0RvYy54bWxQSwUGAAAAAAYA&#10;BgBZAQAAhAUAAAAA&#10;">
                <v:fill on="f" focussize="0,0"/>
                <v:stroke weight="1.25pt" color="#000000" joinstyle="round"/>
                <v:imagedata o:title=""/>
                <o:lock v:ext="edit" aspectratio="f"/>
              </v:line>
            </w:pict>
          </mc:Fallback>
        </mc:AlternateContent>
      </w:r>
      <w:r>
        <w:rPr>
          <w:rFonts w:hint="eastAsia" w:ascii="黑体" w:hAnsi="黑体" w:eastAsia="黑体"/>
          <w:color w:val="auto"/>
          <w:spacing w:val="-16"/>
        </w:rPr>
        <w:t>（市场监督管理部门将依法向社会公开行政处罚决定信息）</w:t>
      </w:r>
    </w:p>
    <w:p w14:paraId="77C8BB8F">
      <w:pPr>
        <w:spacing w:line="500" w:lineRule="exact"/>
        <w:rPr>
          <w:color w:val="auto"/>
        </w:rPr>
      </w:pPr>
      <w:r>
        <w:rPr>
          <w:rFonts w:ascii="Times New Roman" w:hAnsi="Times New Roman" w:eastAsia="仿宋_GB2312" w:cs="仿宋"/>
          <w:bCs/>
          <w:color w:val="auto"/>
          <w:sz w:val="32"/>
          <w:szCs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20807045</wp:posOffset>
                </wp:positionV>
                <wp:extent cx="5762625" cy="1270"/>
                <wp:effectExtent l="0" t="0" r="0" b="0"/>
                <wp:wrapNone/>
                <wp:docPr id="13" name="直接连接符 13"/>
                <wp:cNvGraphicFramePr/>
                <a:graphic xmlns:a="http://schemas.openxmlformats.org/drawingml/2006/main">
                  <a:graphicData uri="http://schemas.microsoft.com/office/word/2010/wordprocessingShape">
                    <wps:wsp>
                      <wps:cNvCnPr/>
                      <wps:spPr>
                        <a:xfrm>
                          <a:off x="0" y="0"/>
                          <a:ext cx="5762625" cy="1270"/>
                        </a:xfrm>
                        <a:prstGeom prst="line">
                          <a:avLst/>
                        </a:prstGeom>
                        <a:ln w="9360" cap="sq" cmpd="sng">
                          <a:solidFill>
                            <a:srgbClr val="000000"/>
                          </a:solidFill>
                          <a:prstDash val="solid"/>
                          <a:headEnd type="none" w="med" len="med"/>
                          <a:tailEnd type="none" w="med" len="med"/>
                        </a:ln>
                      </wps:spPr>
                      <wps:bodyPr/>
                    </wps:wsp>
                  </a:graphicData>
                </a:graphic>
              </wp:anchor>
            </w:drawing>
          </mc:Choice>
          <mc:Fallback>
            <w:pict>
              <v:line id="_x0000_s1026" o:spid="_x0000_s1026" o:spt="20" style="position:absolute;left:0pt;margin-left:0pt;margin-top:1638.35pt;height:0.1pt;width:453.75pt;z-index:251660288;mso-width-relative:page;mso-height-relative:page;" filled="f" stroked="t" coordsize="21600,21600" o:gfxdata="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Ivv85HXAAAACgEAAA8AAAAAAAAAAQAgAAAAIgAAAGRycy9kb3ducmV2LnhtbFBLAQIUABQA&#10;AAAIAIdO4kAJ1svO8QEAANsDAAAOAAAAAAAAAAEAIAAAACYBAABkcnMvZTJvRG9jLnhtbFBLBQYA&#10;AAAABgAGAFkBAACJBQAAAAA=&#10;">
                <v:fill on="f" focussize="0,0"/>
                <v:stroke weight="0.737007874015748pt" color="#000000" joinstyle="round" endcap="square"/>
                <v:imagedata o:title=""/>
                <o:lock v:ext="edit" aspectratio="f"/>
              </v:line>
            </w:pict>
          </mc:Fallback>
        </mc:AlternateContent>
      </w:r>
      <w:r>
        <w:rPr>
          <w:rFonts w:hint="eastAsia" w:ascii="Times New Roman" w:hAnsi="Times New Roman" w:eastAsia="仿宋_GB2312" w:cs="仿宋"/>
          <w:bCs/>
          <w:color w:val="auto"/>
          <w:sz w:val="32"/>
          <w:szCs w:val="32"/>
        </w:rPr>
        <w:t>本文书一式三份，一份送达，一份归档，一份承办机构留存</w:t>
      </w:r>
      <w:r>
        <w:rPr>
          <w:rFonts w:hint="eastAsia" w:ascii="Times New Roman" w:hAnsi="Times New Roman" w:eastAsia="仿宋_GB2312" w:cs="仿宋"/>
          <w:color w:val="auto"/>
          <w:sz w:val="32"/>
          <w:szCs w:val="32"/>
        </w:rPr>
        <w:t>。</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2010600030101010101"/>
    <w:charset w:val="88"/>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Mangal">
    <w:altName w:val="C059"/>
    <w:panose1 w:val="00000400000000000000"/>
    <w:charset w:val="00"/>
    <w:family w:val="roman"/>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 w:name="Arial Unicode MS">
    <w:altName w:val="DejaVu Sans"/>
    <w:panose1 w:val="020B0604020202020204"/>
    <w:charset w:val="86"/>
    <w:family w:val="auto"/>
    <w:pitch w:val="default"/>
    <w:sig w:usb0="00000000" w:usb1="00000000" w:usb2="0000003F" w:usb3="00000000" w:csb0="603F01FF" w:csb1="FFFF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Mongolian Baiti">
    <w:altName w:val="C059"/>
    <w:panose1 w:val="03000500000000000000"/>
    <w:charset w:val="00"/>
    <w:family w:val="script"/>
    <w:pitch w:val="default"/>
    <w:sig w:usb0="00000000" w:usb1="00000000" w:usb2="00020000" w:usb3="00000000" w:csb0="00000001"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D28FF">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F8B091">
                          <w:pPr>
                            <w:pStyle w:val="4"/>
                            <w:rPr>
                              <w:rFonts w:hint="eastAsia" w:ascii="宋体" w:hAnsi="宋体" w:eastAsia="宋体" w:cs="宋体"/>
                              <w:sz w:val="28"/>
                              <w:szCs w:val="28"/>
                            </w:rPr>
                          </w:pPr>
                          <w:r>
                            <w:rPr>
                              <w:rFonts w:hint="eastAsia" w:ascii="宋体" w:hAnsi="宋体" w:eastAsia="宋体" w:cs="宋体"/>
                              <w:sz w:val="28"/>
                              <w:szCs w:val="28"/>
                            </w:rPr>
                            <w:t xml:space="preserve">第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页 共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NUMPAGES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1F8B091">
                    <w:pPr>
                      <w:pStyle w:val="4"/>
                      <w:rPr>
                        <w:rFonts w:hint="eastAsia" w:ascii="宋体" w:hAnsi="宋体" w:eastAsia="宋体" w:cs="宋体"/>
                        <w:sz w:val="28"/>
                        <w:szCs w:val="28"/>
                      </w:rPr>
                    </w:pPr>
                    <w:r>
                      <w:rPr>
                        <w:rFonts w:hint="eastAsia" w:ascii="宋体" w:hAnsi="宋体" w:eastAsia="宋体" w:cs="宋体"/>
                        <w:sz w:val="28"/>
                        <w:szCs w:val="28"/>
                      </w:rPr>
                      <w:t xml:space="preserve">第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页 共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NUMPAGES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8"/>
    <w:multiLevelType w:val="multilevel"/>
    <w:tmpl w:val="00000008"/>
    <w:lvl w:ilvl="0" w:tentative="0">
      <w:start w:val="1"/>
      <w:numFmt w:val="none"/>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abstractNum w:abstractNumId="1">
    <w:nsid w:val="0000000A"/>
    <w:multiLevelType w:val="multilevel"/>
    <w:tmpl w:val="0000000A"/>
    <w:lvl w:ilvl="0" w:tentative="0">
      <w:start w:val="1"/>
      <w:numFmt w:val="none"/>
      <w:pStyle w:val="2"/>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abstractNum w:abstractNumId="2">
    <w:nsid w:val="526909A7"/>
    <w:multiLevelType w:val="singleLevel"/>
    <w:tmpl w:val="526909A7"/>
    <w:lvl w:ilvl="0" w:tentative="0">
      <w:start w:val="1"/>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EyM2U5YzI2ZWYzNzA3YjY5MWY2NDE1MjMyNWZjOTUifQ=="/>
    <w:docVar w:name="KSO_WPS_MARK_KEY" w:val="ad3abea3-8ba7-47a2-bc3f-332894d4261f"/>
  </w:docVars>
  <w:rsids>
    <w:rsidRoot w:val="5BA419F7"/>
    <w:rsid w:val="00193C35"/>
    <w:rsid w:val="0032134F"/>
    <w:rsid w:val="02B83402"/>
    <w:rsid w:val="04CD463F"/>
    <w:rsid w:val="04FA4431"/>
    <w:rsid w:val="06BAE61F"/>
    <w:rsid w:val="071C7669"/>
    <w:rsid w:val="0776795A"/>
    <w:rsid w:val="08365B64"/>
    <w:rsid w:val="0852068D"/>
    <w:rsid w:val="0B22091D"/>
    <w:rsid w:val="0CF71776"/>
    <w:rsid w:val="0D7510DD"/>
    <w:rsid w:val="103E22C5"/>
    <w:rsid w:val="1350279A"/>
    <w:rsid w:val="14203063"/>
    <w:rsid w:val="143E1E38"/>
    <w:rsid w:val="152E563E"/>
    <w:rsid w:val="15B93156"/>
    <w:rsid w:val="18325353"/>
    <w:rsid w:val="18B229B2"/>
    <w:rsid w:val="19BE24C0"/>
    <w:rsid w:val="19FE4517"/>
    <w:rsid w:val="1AE345F4"/>
    <w:rsid w:val="1C9C2B08"/>
    <w:rsid w:val="1DA4420A"/>
    <w:rsid w:val="1F2B5D07"/>
    <w:rsid w:val="1FD31F15"/>
    <w:rsid w:val="236534A4"/>
    <w:rsid w:val="244E1F2B"/>
    <w:rsid w:val="24626694"/>
    <w:rsid w:val="258D6CE0"/>
    <w:rsid w:val="2B1B3EFC"/>
    <w:rsid w:val="2C736DD8"/>
    <w:rsid w:val="2CEA3815"/>
    <w:rsid w:val="2DE10173"/>
    <w:rsid w:val="2F327E79"/>
    <w:rsid w:val="2F7CE1EF"/>
    <w:rsid w:val="30DB5683"/>
    <w:rsid w:val="342602B0"/>
    <w:rsid w:val="3585615B"/>
    <w:rsid w:val="368E5656"/>
    <w:rsid w:val="377FBB27"/>
    <w:rsid w:val="37F16547"/>
    <w:rsid w:val="38B63DA7"/>
    <w:rsid w:val="3930619F"/>
    <w:rsid w:val="3A4E178D"/>
    <w:rsid w:val="3BF97ECA"/>
    <w:rsid w:val="3C2965F0"/>
    <w:rsid w:val="3F2604DF"/>
    <w:rsid w:val="3F6783E4"/>
    <w:rsid w:val="3FFF82D4"/>
    <w:rsid w:val="402E7C06"/>
    <w:rsid w:val="40FE5F8F"/>
    <w:rsid w:val="425049CE"/>
    <w:rsid w:val="4659781C"/>
    <w:rsid w:val="47B866A8"/>
    <w:rsid w:val="48C10000"/>
    <w:rsid w:val="4A256B30"/>
    <w:rsid w:val="4B8F0B22"/>
    <w:rsid w:val="4BD32FF0"/>
    <w:rsid w:val="4C02380F"/>
    <w:rsid w:val="4CC8271B"/>
    <w:rsid w:val="4D9306AE"/>
    <w:rsid w:val="4E8950D9"/>
    <w:rsid w:val="4F0457DF"/>
    <w:rsid w:val="547C0750"/>
    <w:rsid w:val="57503162"/>
    <w:rsid w:val="591F0542"/>
    <w:rsid w:val="5BA419F7"/>
    <w:rsid w:val="5BF91583"/>
    <w:rsid w:val="5BFB2E57"/>
    <w:rsid w:val="5DD7483B"/>
    <w:rsid w:val="5E5FAB03"/>
    <w:rsid w:val="5F9FEDD5"/>
    <w:rsid w:val="5FBEF003"/>
    <w:rsid w:val="5FE33914"/>
    <w:rsid w:val="5FFA4D85"/>
    <w:rsid w:val="60236EE4"/>
    <w:rsid w:val="602422E6"/>
    <w:rsid w:val="60B635F2"/>
    <w:rsid w:val="612E7E8C"/>
    <w:rsid w:val="64E43803"/>
    <w:rsid w:val="66733921"/>
    <w:rsid w:val="69690BB2"/>
    <w:rsid w:val="6AD7030F"/>
    <w:rsid w:val="6BCC1BB9"/>
    <w:rsid w:val="6D923254"/>
    <w:rsid w:val="6E04767D"/>
    <w:rsid w:val="6E6950E9"/>
    <w:rsid w:val="6F732ABB"/>
    <w:rsid w:val="6FF58B64"/>
    <w:rsid w:val="6FF8F863"/>
    <w:rsid w:val="70CF02CA"/>
    <w:rsid w:val="71013020"/>
    <w:rsid w:val="710D7C3E"/>
    <w:rsid w:val="7376089F"/>
    <w:rsid w:val="745E666F"/>
    <w:rsid w:val="75B2DA43"/>
    <w:rsid w:val="75BD90DB"/>
    <w:rsid w:val="77DF8BD4"/>
    <w:rsid w:val="77EFD5CC"/>
    <w:rsid w:val="77FFADAC"/>
    <w:rsid w:val="7B0F6E9A"/>
    <w:rsid w:val="7BFD6076"/>
    <w:rsid w:val="7C8E43D6"/>
    <w:rsid w:val="7DA813EB"/>
    <w:rsid w:val="7DFF108F"/>
    <w:rsid w:val="7EED8AE6"/>
    <w:rsid w:val="7FEADF5C"/>
    <w:rsid w:val="91BF8AB9"/>
    <w:rsid w:val="9FF1B21D"/>
    <w:rsid w:val="B7BFD803"/>
    <w:rsid w:val="BD5EB179"/>
    <w:rsid w:val="BD7F788E"/>
    <w:rsid w:val="CCD6058E"/>
    <w:rsid w:val="DEFF1EB3"/>
    <w:rsid w:val="DF3F4C88"/>
    <w:rsid w:val="DF7A9960"/>
    <w:rsid w:val="DFBF15D5"/>
    <w:rsid w:val="DFD70EC8"/>
    <w:rsid w:val="DFFE6C63"/>
    <w:rsid w:val="E53DE605"/>
    <w:rsid w:val="E775D448"/>
    <w:rsid w:val="ECC7B000"/>
    <w:rsid w:val="F0ED2927"/>
    <w:rsid w:val="F3EF5848"/>
    <w:rsid w:val="F5A28C7E"/>
    <w:rsid w:val="F9BF6AE4"/>
    <w:rsid w:val="FB57F652"/>
    <w:rsid w:val="FBBF88F6"/>
    <w:rsid w:val="FBFEBC90"/>
    <w:rsid w:val="FCF69F69"/>
    <w:rsid w:val="FD7BEF22"/>
    <w:rsid w:val="FD8BB826"/>
    <w:rsid w:val="FD9199D6"/>
    <w:rsid w:val="FDAC17BA"/>
    <w:rsid w:val="FDDF4064"/>
    <w:rsid w:val="FDF46C9E"/>
    <w:rsid w:val="FEAFF630"/>
    <w:rsid w:val="FEDEBCAC"/>
    <w:rsid w:val="FF7F62AA"/>
    <w:rsid w:val="FFDBA3A8"/>
    <w:rsid w:val="FFDF073B"/>
    <w:rsid w:val="FFFE0A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numPr>
        <w:ilvl w:val="0"/>
        <w:numId w:val="1"/>
      </w:numPr>
      <w:spacing w:before="240" w:after="120"/>
      <w:jc w:val="left"/>
      <w:outlineLvl w:val="0"/>
    </w:pPr>
    <w:rPr>
      <w:rFonts w:ascii="Times New Roman" w:hAnsi="Times New Roman" w:cs="Mangal"/>
      <w:color w:val="00000A"/>
      <w:sz w:val="24"/>
      <w:lang w:val="zh-CN" w:bidi="hi-IN"/>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pPr>
      <w:autoSpaceDE w:val="0"/>
      <w:autoSpaceDN w:val="0"/>
      <w:adjustRightInd w:val="0"/>
      <w:jc w:val="left"/>
    </w:pPr>
    <w:rPr>
      <w:rFonts w:ascii="Arial Unicode MS" w:hAnsi="Times New Roman" w:eastAsia="Arial Unicode MS"/>
      <w:kern w:val="0"/>
      <w:sz w:val="32"/>
      <w:szCs w:val="32"/>
    </w:rPr>
  </w:style>
  <w:style w:type="paragraph" w:styleId="4">
    <w:name w:val="footer"/>
    <w:basedOn w:val="1"/>
    <w:unhideWhenUsed/>
    <w:qFormat/>
    <w:uiPriority w:val="99"/>
    <w:pPr>
      <w:tabs>
        <w:tab w:val="center" w:pos="4153"/>
        <w:tab w:val="right" w:pos="8306"/>
      </w:tabs>
      <w:snapToGrid w:val="0"/>
      <w:jc w:val="left"/>
    </w:pPr>
    <w:rPr>
      <w:rFonts w:ascii="Calibri" w:hAnsi="Calibri" w:eastAsia="宋体" w:cs="Times New Roman"/>
      <w:sz w:val="18"/>
      <w:szCs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footnote text"/>
    <w:basedOn w:val="1"/>
    <w:unhideWhenUsed/>
    <w:qFormat/>
    <w:uiPriority w:val="99"/>
    <w:pPr>
      <w:snapToGrid w:val="0"/>
      <w:jc w:val="left"/>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585</Words>
  <Characters>666</Characters>
  <Lines>0</Lines>
  <Paragraphs>0</Paragraphs>
  <TotalTime>1</TotalTime>
  <ScaleCrop>false</ScaleCrop>
  <LinksUpToDate>false</LinksUpToDate>
  <CharactersWithSpaces>1916</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2021-08-02T18:04:00Z</dcterms:created>
  <dc:creator>胖林宝宝噜啦噜～</dc:creator>
  <cp:lastModifiedBy>01sj</cp:lastModifiedBy>
  <dcterms:modified xsi:type="dcterms:W3CDTF">2026-08-11T15:40:46Z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E01F19C44FBC44EDA9C07BE46232366B_13</vt:lpwstr>
  </property>
  <property fmtid="{D5CDD505-2E9C-101B-9397-08002B2CF9AE}" pid="4" name="KSOTemplateDocerSaveRecord">
    <vt:lpwstr>eyJoZGlkIjoiMTY3MmVlMjA2MWM0ZGU2MDEyNjkwNzM5YzM3YjlmZDAiLCJ1c2VySWQiOiIyODQ4MDE1MTAifQ==</vt:lpwstr>
  </property>
</Properties>
</file>