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361BD">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薛城区市场监督管理局</w:t>
      </w:r>
      <w:bookmarkEnd w:id="0"/>
    </w:p>
    <w:p w14:paraId="447EAA7B">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w:t>
      </w:r>
      <w:r>
        <w:rPr>
          <w:rFonts w:hint="eastAsia" w:hAnsi="方正小标宋简体" w:eastAsia="方正小标宋简体" w:cs="方正小标宋简体"/>
          <w:color w:val="auto"/>
          <w:sz w:val="44"/>
          <w:szCs w:val="44"/>
          <w:lang w:val="en-US" w:eastAsia="zh-Hans"/>
        </w:rPr>
        <w:t>决定</w:t>
      </w:r>
      <w:r>
        <w:rPr>
          <w:rFonts w:hint="eastAsia" w:hAnsi="方正小标宋简体" w:eastAsia="方正小标宋简体" w:cs="方正小标宋简体"/>
          <w:color w:val="auto"/>
          <w:sz w:val="44"/>
          <w:szCs w:val="44"/>
          <w:lang w:val="en-US"/>
        </w:rPr>
        <w:t>书</w:t>
      </w:r>
      <w:bookmarkEnd w:id="1"/>
    </w:p>
    <w:p w14:paraId="38F32F6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rPr>
        <w:t>薛市监处罚〔2026〕624号</w:t>
      </w:r>
      <w:bookmarkEnd w:id="2"/>
    </w:p>
    <w:p w14:paraId="058E1FA8">
      <w:pPr>
        <w:keepNext w:val="0"/>
        <w:keepLines w:val="0"/>
        <w:pageBreakBefore w:val="0"/>
        <w:kinsoku/>
        <w:overflowPunct/>
        <w:topLinePunct w:val="0"/>
        <w:bidi w:val="0"/>
        <w:spacing w:before="315" w:beforeLines="100" w:line="480" w:lineRule="exact"/>
        <w:ind w:left="142" w:hanging="142"/>
        <w:textAlignment w:val="auto"/>
        <w:rPr>
          <w:rFonts w:hint="eastAsia" w:ascii="Times New Roman" w:hAnsi="Times New Roman" w:eastAsia="仿宋_GB2312" w:cs="Mongolian Baiti"/>
          <w:b w:val="0"/>
          <w:bCs/>
          <w:color w:val="auto"/>
          <w:sz w:val="32"/>
          <w:szCs w:val="32"/>
          <w:u w:val="none" w:color="auto"/>
          <w:lang w:val="en-US" w:eastAsia="zh-CN"/>
        </w:rPr>
      </w:pPr>
      <w:r>
        <w:rPr>
          <w:rFonts w:hint="eastAsia" w:ascii="Times New Roman" w:hAnsi="Times New Roman" w:eastAsia="仿宋_GB2312" w:cs="Mongolian Baiti"/>
          <w:b w:val="0"/>
          <w:bCs/>
          <w:color w:val="auto"/>
          <w:kern w:val="1"/>
          <w:sz w:val="32"/>
          <w:szCs w:val="32"/>
          <w:u w:val="none" w:color="auto"/>
        </w:rPr>
        <w:t>当事人：</w:t>
      </w:r>
      <w:bookmarkStart w:id="3" w:name="OLE_LINK1"/>
      <w:bookmarkStart w:id="4" w:name="CALCULATE—DSR—tAjDsrs_cMc"/>
      <w:r>
        <w:rPr>
          <w:rFonts w:hint="eastAsia" w:ascii="Times New Roman" w:hAnsi="Times New Roman" w:eastAsia="仿宋_GB2312" w:cs="Mongolian Baiti"/>
          <w:b w:val="0"/>
          <w:color w:val="auto"/>
          <w:sz w:val="32"/>
          <w:u w:val="none" w:color="auto"/>
        </w:rPr>
        <w:t>枣庄薛城区浅塘酒馆店</w:t>
      </w:r>
      <w:bookmarkEnd w:id="3"/>
      <w:r>
        <w:rPr>
          <w:rFonts w:hint="eastAsia" w:ascii="Times New Roman" w:hAnsi="Times New Roman" w:eastAsia="仿宋_GB2312" w:cs="Mongolian Baiti"/>
          <w:b w:val="0"/>
          <w:color w:val="auto"/>
          <w:sz w:val="32"/>
          <w:u w:val="none" w:color="auto"/>
        </w:rPr>
        <w:t>（个体工商户）</w:t>
      </w:r>
      <w:bookmarkEnd w:id="4"/>
      <w:r>
        <w:rPr>
          <w:rFonts w:hint="default" w:ascii="Times New Roman" w:hAnsi="Times New Roman" w:eastAsia="仿宋_GB2312" w:cs="Mongolian Baiti"/>
          <w:b w:val="0"/>
          <w:bCs/>
          <w:color w:val="auto"/>
          <w:kern w:val="1"/>
          <w:sz w:val="32"/>
          <w:szCs w:val="32"/>
          <w:u w:val="none" w:color="auto"/>
        </w:rPr>
        <w:t xml:space="preserve">  </w:t>
      </w:r>
      <w:r>
        <w:rPr>
          <w:rFonts w:hint="eastAsia" w:ascii="Times New Roman" w:hAnsi="Times New Roman" w:eastAsia="仿宋_GB2312" w:cs="Mongolian Baiti"/>
          <w:b w:val="0"/>
          <w:bCs/>
          <w:color w:val="auto"/>
          <w:kern w:val="1"/>
          <w:sz w:val="32"/>
          <w:szCs w:val="32"/>
          <w:u w:val="none" w:color="auto"/>
        </w:rPr>
        <w:t xml:space="preserve">   </w:t>
      </w:r>
      <w:r>
        <w:rPr>
          <w:rFonts w:hint="default" w:ascii="Times New Roman" w:hAnsi="Times New Roman" w:eastAsia="仿宋_GB2312" w:cs="Mongolian Baiti"/>
          <w:b w:val="0"/>
          <w:bCs/>
          <w:color w:val="auto"/>
          <w:kern w:val="1"/>
          <w:sz w:val="32"/>
          <w:szCs w:val="32"/>
          <w:u w:val="none" w:color="auto"/>
        </w:rPr>
        <w:t xml:space="preserve"> </w:t>
      </w:r>
      <w:r>
        <w:rPr>
          <w:rFonts w:hint="eastAsia" w:ascii="Times New Roman" w:hAnsi="Times New Roman" w:eastAsia="仿宋_GB2312" w:cs="Mongolian Baiti"/>
          <w:b w:val="0"/>
          <w:bCs/>
          <w:color w:val="auto"/>
          <w:kern w:val="1"/>
          <w:sz w:val="32"/>
          <w:szCs w:val="32"/>
          <w:u w:val="none" w:color="auto"/>
        </w:rPr>
        <w:t xml:space="preserve">                                      </w:t>
      </w:r>
    </w:p>
    <w:p w14:paraId="47F6A234">
      <w:pPr>
        <w:keepNext w:val="0"/>
        <w:keepLines w:val="0"/>
        <w:pageBreakBefore w:val="0"/>
        <w:kinsoku/>
        <w:overflowPunct/>
        <w:topLinePunct w:val="0"/>
        <w:bidi w:val="0"/>
        <w:spacing w:line="480" w:lineRule="exact"/>
        <w:ind w:left="140" w:hanging="140"/>
        <w:textAlignment w:val="auto"/>
        <w:rPr>
          <w:rFonts w:hint="eastAsia" w:ascii="Times New Roman" w:hAnsi="Times New Roman" w:eastAsia="仿宋_GB2312" w:cs="Mongolian Baiti"/>
          <w:b w:val="0"/>
          <w:bCs/>
          <w:color w:val="auto"/>
          <w:kern w:val="1"/>
          <w:sz w:val="32"/>
          <w:szCs w:val="32"/>
          <w:u w:val="none" w:color="auto"/>
        </w:rPr>
      </w:pPr>
      <w:r>
        <w:rPr>
          <w:rFonts w:hint="eastAsia" w:ascii="Times New Roman" w:hAnsi="Times New Roman" w:eastAsia="仿宋_GB2312" w:cs="微软雅黑"/>
          <w:b w:val="0"/>
          <w:bCs/>
          <w:color w:val="auto"/>
          <w:kern w:val="1"/>
          <w:sz w:val="32"/>
          <w:szCs w:val="32"/>
          <w:u w:val="none" w:color="auto"/>
        </w:rPr>
        <w:t>主体资格证照</w:t>
      </w:r>
      <w:r>
        <w:rPr>
          <w:rFonts w:hint="eastAsia" w:ascii="Times New Roman" w:hAnsi="Times New Roman" w:eastAsia="仿宋_GB2312" w:cs="Mongolian Baiti"/>
          <w:b w:val="0"/>
          <w:bCs/>
          <w:color w:val="auto"/>
          <w:kern w:val="1"/>
          <w:sz w:val="32"/>
          <w:szCs w:val="32"/>
          <w:u w:val="none" w:color="auto"/>
        </w:rPr>
        <w:t>名称：</w:t>
      </w:r>
      <w:bookmarkStart w:id="5" w:name="CALCULATE—DSR—tAjDsrs_cZtzgzzmc"/>
      <w:r>
        <w:rPr>
          <w:rFonts w:hint="eastAsia" w:ascii="Times New Roman" w:hAnsi="Times New Roman" w:eastAsia="仿宋_GB2312" w:cs="Mongolian Baiti"/>
          <w:b w:val="0"/>
          <w:color w:val="auto"/>
          <w:sz w:val="32"/>
          <w:u w:val="none" w:color="auto"/>
        </w:rPr>
        <w:t>营业执照</w:t>
      </w:r>
      <w:bookmarkEnd w:id="5"/>
      <w:r>
        <w:rPr>
          <w:rFonts w:hint="eastAsia" w:ascii="Times New Roman" w:hAnsi="Times New Roman" w:eastAsia="仿宋_GB2312" w:cs="Mongolian Baiti"/>
          <w:b w:val="0"/>
          <w:bCs/>
          <w:color w:val="auto"/>
          <w:kern w:val="1"/>
          <w:sz w:val="32"/>
          <w:szCs w:val="32"/>
          <w:u w:val="none" w:color="auto"/>
        </w:rPr>
        <w:t xml:space="preserve">                                  </w:t>
      </w:r>
    </w:p>
    <w:p w14:paraId="346780EE">
      <w:pPr>
        <w:keepNext w:val="0"/>
        <w:keepLines w:val="0"/>
        <w:pageBreakBefore w:val="0"/>
        <w:kinsoku/>
        <w:overflowPunct/>
        <w:topLinePunct w:val="0"/>
        <w:bidi w:val="0"/>
        <w:spacing w:line="480" w:lineRule="exact"/>
        <w:ind w:left="140" w:hanging="140"/>
        <w:textAlignment w:val="auto"/>
        <w:rPr>
          <w:rFonts w:hint="default" w:ascii="Times New Roman" w:hAnsi="Times New Roman" w:eastAsia="仿宋_GB2312" w:cs="Mongolian Baiti"/>
          <w:b w:val="0"/>
          <w:bCs/>
          <w:color w:val="auto"/>
          <w:kern w:val="1"/>
          <w:sz w:val="32"/>
          <w:szCs w:val="32"/>
          <w:u w:val="none" w:color="auto"/>
          <w:lang w:val="en-US" w:eastAsia="zh-CN"/>
        </w:rPr>
      </w:pPr>
      <w:r>
        <w:rPr>
          <w:rFonts w:hint="eastAsia" w:ascii="Times New Roman" w:hAnsi="Times New Roman" w:eastAsia="仿宋_GB2312" w:cs="Mongolian Baiti"/>
          <w:b w:val="0"/>
          <w:bCs/>
          <w:color w:val="auto"/>
          <w:kern w:val="1"/>
          <w:sz w:val="32"/>
          <w:szCs w:val="32"/>
          <w:u w:val="none" w:color="auto"/>
        </w:rPr>
        <w:t>统一社会信用代码：</w:t>
      </w:r>
      <w:bookmarkStart w:id="6" w:name="CALCULATE—DSR—tAjDsrs_cTzshxydm"/>
      <w:r>
        <w:rPr>
          <w:rFonts w:hint="eastAsia" w:ascii="Times New Roman" w:hAnsi="Times New Roman" w:eastAsia="仿宋_GB2312" w:cs="Mongolian Baiti"/>
          <w:b w:val="0"/>
          <w:color w:val="auto"/>
          <w:sz w:val="32"/>
          <w:u w:val="none" w:color="auto"/>
        </w:rPr>
        <w:t>92370403MADRLJGT08</w:t>
      </w:r>
      <w:bookmarkEnd w:id="6"/>
      <w:r>
        <w:rPr>
          <w:rFonts w:hint="eastAsia" w:ascii="Times New Roman" w:hAnsi="Times New Roman" w:eastAsia="仿宋_GB2312" w:cs="Mongolian Baiti"/>
          <w:b w:val="0"/>
          <w:bCs/>
          <w:color w:val="auto"/>
          <w:kern w:val="1"/>
          <w:sz w:val="32"/>
          <w:szCs w:val="32"/>
          <w:u w:val="none" w:color="auto"/>
        </w:rPr>
        <w:t xml:space="preserve">                                  </w:t>
      </w:r>
    </w:p>
    <w:p w14:paraId="1A2C2B8D">
      <w:pPr>
        <w:keepNext w:val="0"/>
        <w:keepLines w:val="0"/>
        <w:pageBreakBefore w:val="0"/>
        <w:kinsoku/>
        <w:overflowPunct/>
        <w:topLinePunct w:val="0"/>
        <w:bidi w:val="0"/>
        <w:spacing w:line="480" w:lineRule="exact"/>
        <w:ind w:left="140" w:hanging="140"/>
        <w:textAlignment w:val="auto"/>
        <w:rPr>
          <w:rFonts w:hint="eastAsia" w:ascii="仿宋_GB2312" w:hAnsi="方正仿宋_GBK" w:eastAsia="仿宋_GB2312"/>
          <w:b w:val="0"/>
          <w:bCs/>
          <w:color w:val="auto"/>
          <w:u w:val="none" w:color="auto"/>
        </w:rPr>
      </w:pPr>
      <w:r>
        <w:rPr>
          <w:rFonts w:hint="eastAsia" w:ascii="Times New Roman" w:hAnsi="Times New Roman" w:eastAsia="仿宋_GB2312" w:cs="Mongolian Baiti"/>
          <w:b w:val="0"/>
          <w:bCs/>
          <w:color w:val="auto"/>
          <w:kern w:val="1"/>
          <w:sz w:val="32"/>
          <w:szCs w:val="32"/>
          <w:u w:val="none" w:color="auto"/>
        </w:rPr>
        <w:t>住所（住址）：</w:t>
      </w:r>
      <w:bookmarkStart w:id="7" w:name="CALCULATE—DSR—tAjDsrs_cLxdzSheng"/>
      <w:r>
        <w:rPr>
          <w:rFonts w:hint="eastAsia" w:ascii="Times New Roman" w:hAnsi="Times New Roman" w:eastAsia="仿宋_GB2312" w:cs="Mongolian Baiti"/>
          <w:b w:val="0"/>
          <w:color w:val="auto"/>
          <w:sz w:val="32"/>
          <w:u w:val="none" w:color="auto"/>
        </w:rPr>
        <w:t>山东省枣庄市薛城临城街道临山路12号J座</w:t>
      </w:r>
      <w:bookmarkEnd w:id="7"/>
      <w:r>
        <w:rPr>
          <w:rFonts w:hint="eastAsia" w:ascii="Times New Roman" w:hAnsi="Times New Roman" w:eastAsia="仿宋_GB2312" w:cs="Mongolian Baiti"/>
          <w:b w:val="0"/>
          <w:bCs/>
          <w:color w:val="auto"/>
          <w:kern w:val="1"/>
          <w:sz w:val="32"/>
          <w:szCs w:val="32"/>
          <w:u w:val="none" w:color="auto"/>
        </w:rPr>
        <w:t xml:space="preserve">                                     </w:t>
      </w:r>
      <w:r>
        <w:rPr>
          <w:rFonts w:hint="eastAsia" w:ascii="Times New Roman" w:hAnsi="Times New Roman" w:eastAsia="仿宋_GB2312" w:cs="Mongolian Baiti"/>
          <w:b w:val="0"/>
          <w:bCs/>
          <w:color w:val="auto"/>
          <w:kern w:val="1"/>
          <w:sz w:val="32"/>
          <w:szCs w:val="32"/>
          <w:u w:val="none" w:color="auto"/>
          <w:lang w:val="en-US" w:eastAsia="zh-CN"/>
        </w:rPr>
        <w:t xml:space="preserve"> </w:t>
      </w:r>
      <w:r>
        <w:rPr>
          <w:rFonts w:hint="eastAsia" w:ascii="Times New Roman" w:hAnsi="Times New Roman" w:eastAsia="仿宋_GB2312" w:cs="Mongolian Baiti"/>
          <w:b w:val="0"/>
          <w:bCs/>
          <w:color w:val="auto"/>
          <w:kern w:val="1"/>
          <w:sz w:val="32"/>
          <w:szCs w:val="32"/>
          <w:u w:val="none" w:color="auto"/>
        </w:rPr>
        <w:t xml:space="preserve">                               </w:t>
      </w:r>
    </w:p>
    <w:p w14:paraId="31F1356F">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default" w:ascii="仿宋_GB2312" w:hAnsi="方正仿宋_GBK" w:eastAsia="仿宋_GB2312"/>
          <w:b w:val="0"/>
          <w:bCs/>
          <w:color w:val="auto"/>
          <w:u w:val="none" w:color="auto"/>
          <w:lang w:val="en-US" w:eastAsia="zh-CN"/>
        </w:rPr>
      </w:pPr>
      <w:r>
        <w:rPr>
          <w:rFonts w:hint="eastAsia" w:ascii="仿宋_GB2312" w:hAnsi="方正仿宋_GBK" w:eastAsia="仿宋_GB2312"/>
          <w:b w:val="0"/>
          <w:bCs/>
          <w:color w:val="auto"/>
          <w:u w:val="none" w:color="auto"/>
          <w:lang w:val="en-US" w:eastAsia="zh-CN"/>
        </w:rPr>
        <w:t xml:space="preserve">我局于2026年6月16日收到枣庄市公安局薛城分局移送的案件线索，线索中涉及枣庄薛城区浅塘酒馆店向未成年人销售酒水的相关情况。当事人涉嫌向未成年人销售酒，违反了《中华人民共和国未成年人保护法》第五十九条“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的规定，2026年6月18日立案调查。 </w:t>
      </w:r>
      <w:r>
        <w:rPr>
          <w:rFonts w:hint="default" w:ascii="仿宋_GB2312" w:hAnsi="方正仿宋_GBK" w:eastAsia="仿宋_GB2312"/>
          <w:b w:val="0"/>
          <w:bCs/>
          <w:color w:val="auto"/>
          <w:u w:val="none" w:color="auto"/>
          <w:lang w:val="en-US" w:eastAsia="zh-CN"/>
        </w:rPr>
        <w:t xml:space="preserve">                 </w:t>
      </w:r>
      <w:r>
        <w:rPr>
          <w:rFonts w:hint="eastAsia" w:ascii="仿宋_GB2312" w:hAnsi="方正仿宋_GBK" w:eastAsia="仿宋_GB2312"/>
          <w:b w:val="0"/>
          <w:bCs/>
          <w:color w:val="auto"/>
          <w:u w:val="none" w:color="auto"/>
          <w:lang w:val="en-US" w:eastAsia="zh-CN"/>
        </w:rPr>
        <w:t xml:space="preserve">                     </w:t>
      </w:r>
    </w:p>
    <w:p w14:paraId="70853658">
      <w:pPr>
        <w:pStyle w:val="4"/>
        <w:keepNext w:val="0"/>
        <w:keepLines w:val="0"/>
        <w:pageBreakBefore w:val="0"/>
        <w:tabs>
          <w:tab w:val="left" w:pos="8240"/>
        </w:tabs>
        <w:kinsoku/>
        <w:overflowPunct/>
        <w:topLinePunct w:val="0"/>
        <w:bidi w:val="0"/>
        <w:spacing w:line="480" w:lineRule="exact"/>
        <w:ind w:firstLine="640" w:firstLineChars="200"/>
        <w:textAlignment w:val="auto"/>
        <w:rPr>
          <w:rFonts w:hint="default" w:ascii="Times New Roman" w:hAnsi="Times New Roman" w:eastAsia="仿宋_GB2312" w:cs="Mongolian Baiti"/>
          <w:b w:val="0"/>
          <w:bCs/>
          <w:color w:val="auto"/>
          <w:kern w:val="1"/>
          <w:sz w:val="32"/>
          <w:szCs w:val="32"/>
          <w:u w:val="none" w:color="auto"/>
          <w:lang w:val="en-US" w:eastAsia="zh-CN"/>
        </w:rPr>
      </w:pPr>
      <w:r>
        <w:rPr>
          <w:rFonts w:hint="eastAsia" w:ascii="Times New Roman" w:eastAsia="仿宋_GB2312" w:cs="Mongolian Baiti"/>
          <w:b w:val="0"/>
          <w:bCs/>
          <w:color w:val="auto"/>
          <w:kern w:val="1"/>
          <w:u w:val="none" w:color="auto"/>
        </w:rPr>
        <w:t>经查，</w:t>
      </w:r>
      <w:r>
        <w:rPr>
          <w:rFonts w:hint="eastAsia" w:ascii="Times New Roman" w:hAnsi="Times New Roman" w:eastAsia="仿宋_GB2312" w:cs="Mongolian Baiti"/>
          <w:b w:val="0"/>
          <w:bCs/>
          <w:color w:val="auto"/>
          <w:kern w:val="1"/>
          <w:sz w:val="32"/>
          <w:szCs w:val="32"/>
          <w:u w:val="none" w:color="auto"/>
        </w:rPr>
        <w:t xml:space="preserve">2026年6月11日，当事人通过美团团购，向未成年人销售“动力火车”酒水共计24瓶，76.9元，当事人购进动力火车”酒水的价格为24瓶共计35元。经调查确认，当事人涉嫌向未成年人销售酒的违法事实存在，货值共计76.9元，违法所得41.9元。                         </w:t>
      </w:r>
      <w:r>
        <w:rPr>
          <w:rFonts w:hint="eastAsia" w:ascii="Times New Roman" w:eastAsia="仿宋_GB2312" w:cs="Mongolian Baiti"/>
          <w:b w:val="0"/>
          <w:bCs/>
          <w:color w:val="auto"/>
          <w:kern w:val="1"/>
          <w:sz w:val="32"/>
          <w:szCs w:val="32"/>
          <w:u w:val="none" w:color="auto"/>
          <w:lang w:val="en-US" w:eastAsia="zh-CN"/>
        </w:rPr>
        <w:t xml:space="preserve">                      </w:t>
      </w:r>
    </w:p>
    <w:p w14:paraId="76906E4E">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上述事实，主要有以下证据证明：</w:t>
      </w:r>
    </w:p>
    <w:p w14:paraId="17076E5C">
      <w:pPr>
        <w:pStyle w:val="4"/>
        <w:keepNext w:val="0"/>
        <w:keepLines w:val="0"/>
        <w:pageBreakBefore w:val="0"/>
        <w:tabs>
          <w:tab w:val="left" w:pos="9060"/>
        </w:tabs>
        <w:kinsoku/>
        <w:overflowPunct/>
        <w:topLinePunct w:val="0"/>
        <w:bidi w:val="0"/>
        <w:spacing w:line="480" w:lineRule="exact"/>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 xml:space="preserve">    1.营业执照复印件和食品经营许可证打印件，证明当事人是能够独立承担法律责任的行政法律关系主体。</w:t>
      </w:r>
    </w:p>
    <w:p w14:paraId="17614B62">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2.询问笔录及美团团购核销单打印件，证明当事人向未成年人销售酒的事实情况。</w:t>
      </w:r>
    </w:p>
    <w:p w14:paraId="58745F32">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3.经营者身份证复印件，证明被调查人员身份信息。</w:t>
      </w:r>
    </w:p>
    <w:p w14:paraId="5E504D25">
      <w:pPr>
        <w:pStyle w:val="4"/>
        <w:keepNext w:val="0"/>
        <w:keepLines w:val="0"/>
        <w:pageBreakBefore w:val="0"/>
        <w:tabs>
          <w:tab w:val="left" w:pos="9060"/>
        </w:tabs>
        <w:kinsoku/>
        <w:overflowPunct/>
        <w:topLinePunct w:val="0"/>
        <w:bidi w:val="0"/>
        <w:spacing w:line="480" w:lineRule="exact"/>
        <w:ind w:firstLine="640" w:firstLineChars="200"/>
        <w:textAlignment w:val="auto"/>
        <w:rPr>
          <w:rFonts w:ascii="Times New Roman" w:eastAsia="仿宋_GB2312" w:cs="仿宋_GB2312"/>
          <w:b w:val="0"/>
          <w:bCs/>
          <w:color w:val="auto"/>
          <w:u w:val="none" w:color="auto"/>
        </w:rPr>
      </w:pPr>
      <w:r>
        <w:rPr>
          <w:rFonts w:hint="eastAsia" w:ascii="Times New Roman" w:eastAsia="仿宋_GB2312" w:cs="仿宋_GB2312"/>
          <w:b w:val="0"/>
          <w:bCs/>
          <w:color w:val="auto"/>
          <w:u w:val="none" w:color="auto"/>
        </w:rPr>
        <w:t xml:space="preserve">4.枣庄市公安局薛城分局移送案件线索情况说明一份，证明案件来源情况。        </w:t>
      </w:r>
      <w:r>
        <w:rPr>
          <w:rFonts w:hint="eastAsia" w:ascii="Times New Roman" w:eastAsia="仿宋_GB2312" w:cs="仿宋_GB2312"/>
          <w:b w:val="0"/>
          <w:bCs/>
          <w:color w:val="auto"/>
          <w:u w:val="none" w:color="auto"/>
          <w:lang w:val="en-US" w:eastAsia="zh-CN"/>
        </w:rPr>
        <w:t xml:space="preserve">          </w:t>
      </w:r>
      <w:r>
        <w:rPr>
          <w:rFonts w:hint="eastAsia" w:ascii="Times New Roman" w:eastAsia="仿宋_GB2312" w:cs="仿宋_GB2312"/>
          <w:b w:val="0"/>
          <w:bCs/>
          <w:color w:val="auto"/>
          <w:u w:val="none" w:color="auto"/>
        </w:rPr>
        <w:t xml:space="preserve"> </w:t>
      </w:r>
    </w:p>
    <w:p w14:paraId="5E4A5E5F">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本局于2026年</w:t>
      </w:r>
      <w:r>
        <w:rPr>
          <w:rFonts w:hint="eastAsia" w:ascii="Times New Roman" w:eastAsia="仿宋_GB2312" w:cs="仿宋_GB2312"/>
          <w:b w:val="0"/>
          <w:bCs/>
          <w:color w:val="auto"/>
          <w:u w:val="none" w:color="auto"/>
          <w:lang w:val="en-US" w:eastAsia="zh-CN"/>
        </w:rPr>
        <w:t>7</w:t>
      </w:r>
      <w:r>
        <w:rPr>
          <w:rFonts w:hint="eastAsia" w:ascii="Times New Roman" w:eastAsia="仿宋_GB2312" w:cs="仿宋_GB2312"/>
          <w:b w:val="0"/>
          <w:bCs/>
          <w:color w:val="auto"/>
          <w:u w:val="none" w:color="auto"/>
        </w:rPr>
        <w:t>月</w:t>
      </w:r>
      <w:r>
        <w:rPr>
          <w:rFonts w:hint="eastAsia" w:ascii="Times New Roman" w:eastAsia="仿宋_GB2312" w:cs="仿宋_GB2312"/>
          <w:b w:val="0"/>
          <w:bCs/>
          <w:color w:val="auto"/>
          <w:u w:val="none" w:color="auto"/>
          <w:lang w:val="en-US" w:eastAsia="zh-CN"/>
        </w:rPr>
        <w:t>14</w:t>
      </w:r>
      <w:r>
        <w:rPr>
          <w:rFonts w:hint="eastAsia" w:ascii="Times New Roman" w:eastAsia="仿宋_GB2312" w:cs="仿宋_GB2312"/>
          <w:b w:val="0"/>
          <w:bCs/>
          <w:color w:val="auto"/>
          <w:u w:val="none" w:color="auto"/>
        </w:rPr>
        <w:t>日下达《行政处罚告知书》，告知当事人拟作出行政处罚的事实、理由、依据和处罚内容，告知当事人依法享有陈述、申辩的权利，也可要求举行听证。当事人</w:t>
      </w:r>
      <w:r>
        <w:rPr>
          <w:rFonts w:hint="eastAsia" w:ascii="Times New Roman" w:eastAsia="仿宋_GB2312" w:cs="仿宋_GB2312"/>
          <w:b w:val="0"/>
          <w:bCs/>
          <w:color w:val="auto"/>
          <w:u w:val="none" w:color="auto"/>
          <w:lang w:val="en-US" w:eastAsia="zh-CN"/>
        </w:rPr>
        <w:t>在法定期限内提出听证申请。</w:t>
      </w:r>
      <w:r>
        <w:rPr>
          <w:rFonts w:hint="eastAsia" w:ascii="Times New Roman" w:eastAsia="仿宋_GB2312" w:cs="仿宋_GB2312"/>
          <w:b w:val="0"/>
          <w:bCs/>
          <w:color w:val="auto"/>
          <w:u w:val="none" w:color="auto"/>
        </w:rPr>
        <w:t xml:space="preserve">   </w:t>
      </w:r>
    </w:p>
    <w:p w14:paraId="1B8C5335">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本局于2026年8月5日依法举行听证会，当事人王志恒及其委托代理人出席听证。听证中当事人对案件基本交易事实无异议，但对违法过错及拟处罚决定提出申辩，具体陈述事实及理由如下：</w:t>
      </w:r>
    </w:p>
    <w:p w14:paraId="33F87845">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1. 事发当日经营者全家外出，未在经营场所值守，涉案酒水为消费者通过美团线上团购下单、凭门锁密码自助到店消费，当事人无法现场核实购买人员身份信息，符合无过错不罚情形。</w:t>
      </w:r>
    </w:p>
    <w:p w14:paraId="4AA32F39">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2. 当事人已在美团线上页面、经营场所显著位置张贴禁止向未成年人售酒警示提示，已尽到日常告知义务，主观上无违法故意，不存在过错。</w:t>
      </w:r>
    </w:p>
    <w:p w14:paraId="1F4B4634">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3. 涉案购买人员仅差一个月年满十八周岁，认知能力接近成年人，且事发后无酗酒、滋事等不良社会危害后果，情节显著轻微。</w:t>
      </w:r>
    </w:p>
    <w:p w14:paraId="76035C84">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4. 本案违法所得仅 41.9 元，拟处罚 10000 元罚款金额过高，与违法收益差距悬殊，违背过罚相当原则。</w:t>
      </w:r>
    </w:p>
    <w:p w14:paraId="3D2349F4">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5. 当事人为退役军人，独自抚养两名未成年子女，家庭经济负担较重，创业不易，请求执法部门予以包容审慎执法，对本案不予处罚。</w:t>
      </w:r>
    </w:p>
    <w:p w14:paraId="21A42DC0">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lang w:val="en-US" w:eastAsia="zh-CN"/>
        </w:rPr>
        <w:t>经听证复核，本局认为：</w:t>
      </w:r>
    </w:p>
    <w:p w14:paraId="1691A5A8">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1.案件事实认定：2026 年 6 月 11 日，当事人经营的酒馆通过美团团购平台，向未满十八周岁的未成年人销售 “动力火车” 酒水 24 瓶，货值 76.9 元，违法所得 41.9 元。以上事实有线索移送材料、美团核销记录、询问笔录、执法视频等完整证据链予以证实，事实清楚、证据确凿、程序合法。</w:t>
      </w:r>
    </w:p>
    <w:p w14:paraId="3013A4B8">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2.违法定性意见：当事人从事酒水经营，无论线上线下经营模式均需遵守《中华人民共和国未成年人保护法》禁售规定，张贴警示提示仅为辅助义务，不能替代法定身份查验、风险管控的义务。当事人存在过错，不属于无过错免责情形。</w:t>
      </w:r>
    </w:p>
    <w:p w14:paraId="1299CA22">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3.危害及裁量认定：法律以十八周岁作为成年人法定界限，临近成年仍属未成年人。向未成年人售酒本身存在侵害未成年人身心健康的社会危害性，不以是否发生滋事、酗酒后果为违法成立前提。</w:t>
      </w:r>
    </w:p>
    <w:p w14:paraId="1A606143">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eastAsia" w:ascii="Times New Roman" w:eastAsia="仿宋_GB2312" w:cs="仿宋_GB2312"/>
          <w:b w:val="0"/>
          <w:bCs/>
          <w:color w:val="auto"/>
          <w:u w:val="none" w:color="auto"/>
        </w:rPr>
      </w:pPr>
      <w:r>
        <w:rPr>
          <w:rFonts w:hint="eastAsia" w:ascii="Times New Roman" w:eastAsia="仿宋_GB2312" w:cs="仿宋_GB2312"/>
          <w:b w:val="0"/>
          <w:bCs/>
          <w:color w:val="auto"/>
          <w:u w:val="none" w:color="auto"/>
        </w:rPr>
        <w:t>4.法律适用意见：本案拟处罚金额 10000 元，处于法定从轻处罚幅度范围内，适用法律准确、裁量合理，不存在处罚过重情形。</w:t>
      </w:r>
    </w:p>
    <w:p w14:paraId="44F378BF">
      <w:pPr>
        <w:pStyle w:val="4"/>
        <w:keepNext w:val="0"/>
        <w:keepLines w:val="0"/>
        <w:pageBreakBefore w:val="0"/>
        <w:tabs>
          <w:tab w:val="left" w:pos="9060"/>
        </w:tabs>
        <w:kinsoku/>
        <w:overflowPunct/>
        <w:topLinePunct w:val="0"/>
        <w:bidi w:val="0"/>
        <w:spacing w:line="480" w:lineRule="exact"/>
        <w:ind w:firstLine="640" w:firstLineChars="200"/>
        <w:textAlignment w:val="auto"/>
        <w:rPr>
          <w:rFonts w:hint="default" w:ascii="Times New Roman" w:eastAsia="仿宋_GB2312" w:cs="仿宋_GB2312"/>
          <w:b w:val="0"/>
          <w:bCs/>
          <w:color w:val="auto"/>
          <w:u w:val="none" w:color="auto"/>
          <w:lang w:val="en-US" w:eastAsia="zh-CN"/>
        </w:rPr>
      </w:pPr>
      <w:r>
        <w:rPr>
          <w:rFonts w:hint="eastAsia" w:ascii="Times New Roman" w:eastAsia="仿宋_GB2312" w:cs="仿宋_GB2312"/>
          <w:b w:val="0"/>
          <w:bCs/>
          <w:color w:val="auto"/>
          <w:u w:val="none" w:color="auto"/>
        </w:rPr>
        <w:t xml:space="preserve">5. 从轻情节认定：当事人退役军人身份、家庭困难、配合调查等情形，均不属于法定从轻、减轻、免除行政处罚的法定事由，其申辩免予处罚的理由不成立。                    </w:t>
      </w:r>
      <w:r>
        <w:rPr>
          <w:rFonts w:hint="eastAsia" w:ascii="Times New Roman" w:eastAsia="仿宋_GB2312" w:cs="仿宋_GB2312"/>
          <w:b w:val="0"/>
          <w:bCs/>
          <w:color w:val="auto"/>
          <w:u w:val="none" w:color="auto"/>
          <w:lang w:val="en-US" w:eastAsia="zh-CN"/>
        </w:rPr>
        <w:t xml:space="preserve">                                         </w:t>
      </w:r>
    </w:p>
    <w:p w14:paraId="4F187973">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仿宋"/>
          <w:b w:val="0"/>
          <w:bCs/>
          <w:color w:val="auto"/>
          <w:kern w:val="2"/>
          <w:sz w:val="32"/>
          <w:szCs w:val="32"/>
          <w:u w:val="none" w:color="auto"/>
          <w:lang w:val="en-US" w:eastAsia="zh-CN" w:bidi="ar-SA"/>
        </w:rPr>
      </w:pPr>
      <w:r>
        <w:rPr>
          <w:rFonts w:hint="eastAsia" w:ascii="Times New Roman" w:hAnsi="Times New Roman" w:eastAsia="仿宋_GB2312" w:cs="仿宋"/>
          <w:b w:val="0"/>
          <w:bCs/>
          <w:color w:val="000000"/>
          <w:kern w:val="2"/>
          <w:sz w:val="32"/>
          <w:szCs w:val="32"/>
          <w:u w:val="none" w:color="auto"/>
          <w:lang w:val="en-US" w:eastAsia="zh-CN" w:bidi="ar-SA"/>
        </w:rPr>
        <w:t>当事人向未成年人销售酒的行为，违反了《中华人民共和国未成年人保护法（2024修正）》第五十九条第一款“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的规定。</w:t>
      </w:r>
    </w:p>
    <w:p w14:paraId="084674CB">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仿宋"/>
          <w:b w:val="0"/>
          <w:bCs/>
          <w:color w:val="auto"/>
          <w:kern w:val="2"/>
          <w:sz w:val="32"/>
          <w:szCs w:val="32"/>
          <w:u w:val="none" w:color="auto"/>
          <w:lang w:val="en-US" w:eastAsia="zh-CN" w:bidi="ar-SA"/>
        </w:rPr>
      </w:pPr>
      <w:r>
        <w:rPr>
          <w:rFonts w:hint="eastAsia" w:ascii="Times New Roman" w:hAnsi="Times New Roman" w:eastAsia="仿宋_GB2312" w:cs="仿宋"/>
          <w:b w:val="0"/>
          <w:bCs/>
          <w:color w:val="000000"/>
          <w:kern w:val="2"/>
          <w:sz w:val="32"/>
          <w:szCs w:val="32"/>
          <w:u w:val="none" w:color="auto"/>
          <w:lang w:val="en-US" w:eastAsia="zh-CN" w:bidi="ar-SA"/>
        </w:rPr>
        <w:t>鉴于该案涉案产品货值金额较小，当事人积极配合调查取证，如实提供相关证据材料，依据《行政处罚法》第五条第二款“设定和实施行政处罚必须以事实为依据，与违法行为的事实、性质、情节以及社会危害程度相当。”以及第六条“实施行政处罚，纠正违法行为，应当坚持处罚与教育相结合，教育公民、法人或者其他组织自觉守法”的规定，参照《市场监管总局关于规范市场监督管理行政处罚裁量权的指导意见》第十四条第二项“第十四条  有下列情形之一的，可以依法从轻或者减轻行政处罚：（二）积极配合市场监管部门调查并主动提供证据材料的”从轻处罚考量因素，同时参照《山东省市场监督管理行政处罚裁量基准（2024版）》“十五、其他领域监督管理 四十七、相关经营者违反《未成年人保护法》有关规定 （二）裁量标准 1.【较轻】具有《山东省市场监督管理行政处罚裁量权适用规则》第十一条、第十二条规定的从轻情形的，给予警告，没收违法所得，可以并处一万五千元以下的罚款”的规定，对当事人按照较轻标准处罚。</w:t>
      </w:r>
    </w:p>
    <w:p w14:paraId="2D8DDC38">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eastAsia" w:ascii="Times New Roman" w:hAnsi="Times New Roman" w:eastAsia="仿宋_GB2312" w:cs="仿宋"/>
          <w:b w:val="0"/>
          <w:bCs/>
          <w:color w:val="auto"/>
          <w:kern w:val="2"/>
          <w:sz w:val="32"/>
          <w:szCs w:val="32"/>
          <w:u w:val="none" w:color="auto"/>
          <w:lang w:val="en-US" w:eastAsia="zh-CN" w:bidi="ar-SA"/>
        </w:rPr>
      </w:pPr>
      <w:r>
        <w:rPr>
          <w:rFonts w:hint="eastAsia" w:ascii="Times New Roman" w:hAnsi="Times New Roman" w:eastAsia="仿宋_GB2312" w:cs="仿宋"/>
          <w:b w:val="0"/>
          <w:bCs/>
          <w:color w:val="000000"/>
          <w:kern w:val="2"/>
          <w:sz w:val="32"/>
          <w:szCs w:val="32"/>
          <w:u w:val="none" w:color="auto"/>
          <w:lang w:val="en-US" w:eastAsia="zh-CN" w:bidi="ar-SA"/>
        </w:rPr>
        <w:t>依据《中华人民共和国未成年人保护法（2024修正）》第一百二十三条“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的规定，</w:t>
      </w:r>
      <w:r>
        <w:rPr>
          <w:rFonts w:hint="eastAsia" w:ascii="Times New Roman" w:eastAsia="仿宋_GB2312" w:cs="仿宋"/>
          <w:b w:val="0"/>
          <w:bCs/>
          <w:color w:val="000000"/>
          <w:kern w:val="2"/>
          <w:sz w:val="32"/>
          <w:szCs w:val="32"/>
          <w:u w:val="none" w:color="auto"/>
          <w:lang w:val="en-US" w:eastAsia="zh-CN" w:bidi="ar-SA"/>
        </w:rPr>
        <w:t>经局负责人集体讨论，</w:t>
      </w:r>
      <w:r>
        <w:rPr>
          <w:rFonts w:hint="eastAsia" w:ascii="Times New Roman" w:hAnsi="Times New Roman" w:eastAsia="仿宋_GB2312" w:cs="仿宋"/>
          <w:b w:val="0"/>
          <w:bCs/>
          <w:color w:val="000000"/>
          <w:kern w:val="2"/>
          <w:sz w:val="32"/>
          <w:szCs w:val="32"/>
          <w:u w:val="none" w:color="auto"/>
          <w:lang w:val="en-US" w:eastAsia="zh-CN" w:bidi="ar-SA"/>
        </w:rPr>
        <w:t>决定责令当事人改正违法行为，并作出处理如下：</w:t>
      </w:r>
    </w:p>
    <w:p w14:paraId="409017F1">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default" w:ascii="Times New Roman" w:eastAsia="仿宋_GB2312" w:cs="仿宋_GB2312"/>
          <w:b w:val="0"/>
          <w:bCs/>
          <w:color w:val="auto"/>
          <w:u w:val="none" w:color="auto"/>
          <w:lang w:val="en-US" w:eastAsia="zh-CN"/>
        </w:rPr>
      </w:pPr>
      <w:r>
        <w:rPr>
          <w:rFonts w:hint="default" w:ascii="Times New Roman" w:eastAsia="仿宋_GB2312" w:cs="仿宋_GB2312"/>
          <w:b w:val="0"/>
          <w:bCs/>
          <w:color w:val="auto"/>
          <w:u w:val="none" w:color="auto"/>
          <w:lang w:val="en-US" w:eastAsia="zh-CN"/>
        </w:rPr>
        <w:t>1.警告；</w:t>
      </w:r>
    </w:p>
    <w:p w14:paraId="233DB9D8">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default" w:ascii="Times New Roman" w:eastAsia="仿宋_GB2312" w:cs="仿宋_GB2312"/>
          <w:b w:val="0"/>
          <w:bCs/>
          <w:color w:val="auto"/>
          <w:u w:val="none" w:color="auto"/>
          <w:lang w:val="en-US" w:eastAsia="zh-CN"/>
        </w:rPr>
      </w:pPr>
      <w:r>
        <w:rPr>
          <w:rFonts w:hint="default" w:ascii="Times New Roman" w:eastAsia="仿宋_GB2312" w:cs="仿宋_GB2312"/>
          <w:b w:val="0"/>
          <w:bCs/>
          <w:color w:val="auto"/>
          <w:u w:val="none" w:color="auto"/>
          <w:lang w:val="en-US" w:eastAsia="zh-CN"/>
        </w:rPr>
        <w:t>2.没收违法所得肆拾壹元零玖角整（41.90元）；</w:t>
      </w:r>
    </w:p>
    <w:p w14:paraId="475CF5DA">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default" w:ascii="Times New Roman" w:eastAsia="仿宋_GB2312" w:cs="仿宋_GB2312"/>
          <w:b w:val="0"/>
          <w:bCs/>
          <w:color w:val="auto"/>
          <w:u w:val="none" w:color="auto"/>
          <w:lang w:val="en-US" w:eastAsia="zh-CN"/>
        </w:rPr>
      </w:pPr>
      <w:r>
        <w:rPr>
          <w:rFonts w:hint="default" w:ascii="Times New Roman" w:eastAsia="仿宋_GB2312" w:cs="仿宋_GB2312"/>
          <w:b w:val="0"/>
          <w:bCs/>
          <w:color w:val="auto"/>
          <w:u w:val="none" w:color="auto"/>
          <w:lang w:val="en-US" w:eastAsia="zh-CN"/>
        </w:rPr>
        <w:t>3.罚款壹万元（10000.00元）；</w:t>
      </w:r>
    </w:p>
    <w:p w14:paraId="040E6625">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default" w:ascii="Times New Roman" w:eastAsia="仿宋_GB2312" w:cs="仿宋_GB2312"/>
          <w:b w:val="0"/>
          <w:bCs/>
          <w:color w:val="auto"/>
          <w:u w:val="none" w:color="auto"/>
          <w:lang w:val="en-US" w:eastAsia="zh-CN"/>
        </w:rPr>
      </w:pPr>
      <w:bookmarkStart w:id="8" w:name="OLE_LINK2"/>
      <w:r>
        <w:rPr>
          <w:rFonts w:hint="default" w:ascii="Times New Roman" w:eastAsia="仿宋_GB2312" w:cs="仿宋_GB2312"/>
          <w:b w:val="0"/>
          <w:bCs/>
          <w:color w:val="auto"/>
          <w:u w:val="none" w:color="auto"/>
          <w:lang w:val="en-US" w:eastAsia="zh-CN"/>
        </w:rPr>
        <w:t>罚没款合计壹万零肆拾壹元玖角整（10041.90元）。</w:t>
      </w:r>
      <w:bookmarkEnd w:id="8"/>
    </w:p>
    <w:p w14:paraId="4D367D7D">
      <w:pPr>
        <w:pStyle w:val="4"/>
        <w:keepNext w:val="0"/>
        <w:keepLines w:val="0"/>
        <w:pageBreakBefore w:val="0"/>
        <w:widowControl w:val="0"/>
        <w:tabs>
          <w:tab w:val="left" w:pos="9060"/>
        </w:tabs>
        <w:kinsoku/>
        <w:overflowPunct/>
        <w:topLinePunct w:val="0"/>
        <w:autoSpaceDE w:val="0"/>
        <w:autoSpaceDN w:val="0"/>
        <w:bidi w:val="0"/>
        <w:adjustRightInd w:val="0"/>
        <w:snapToGrid w:val="0"/>
        <w:spacing w:line="480" w:lineRule="exact"/>
        <w:ind w:firstLine="627" w:firstLineChars="196"/>
        <w:textAlignment w:val="auto"/>
        <w:rPr>
          <w:rFonts w:hint="eastAsia" w:ascii="Times New Roman" w:hAnsi="Times New Roman" w:eastAsia="仿宋_GB2312" w:cs="仿宋"/>
          <w:b w:val="0"/>
          <w:bCs/>
          <w:color w:val="auto"/>
          <w:kern w:val="2"/>
          <w:sz w:val="32"/>
          <w:szCs w:val="32"/>
          <w:u w:val="none" w:color="auto"/>
          <w:lang w:val="en-US" w:eastAsia="zh-CN" w:bidi="ar-SA"/>
        </w:rPr>
      </w:pPr>
      <w:r>
        <w:rPr>
          <w:rFonts w:hint="eastAsia" w:ascii="Times New Roman" w:hAnsi="Times New Roman" w:eastAsia="仿宋_GB2312" w:cs="仿宋"/>
          <w:b w:val="0"/>
          <w:bCs/>
          <w:color w:val="000000"/>
          <w:kern w:val="2"/>
          <w:sz w:val="32"/>
          <w:szCs w:val="32"/>
          <w:u w:val="none" w:color="auto"/>
          <w:lang w:val="en-US" w:eastAsia="zh-CN" w:bidi="ar-SA"/>
        </w:rPr>
        <w:t>依据《中华人民共和国行政处罚法》第六十七条</w:t>
      </w:r>
      <w:r>
        <w:rPr>
          <w:rFonts w:hint="eastAsia" w:ascii="Times New Roman" w:eastAsia="仿宋_GB2312" w:cs="仿宋"/>
          <w:b w:val="0"/>
          <w:bCs/>
          <w:color w:val="000000"/>
          <w:kern w:val="2"/>
          <w:sz w:val="32"/>
          <w:szCs w:val="32"/>
          <w:u w:val="none" w:color="auto"/>
          <w:lang w:val="en-US" w:eastAsia="zh-CN" w:bidi="ar-SA"/>
        </w:rPr>
        <w:t>第三款</w:t>
      </w:r>
      <w:r>
        <w:rPr>
          <w:rFonts w:hint="eastAsia" w:ascii="Times New Roman" w:hAnsi="Times New Roman" w:eastAsia="仿宋_GB2312" w:cs="仿宋"/>
          <w:b w:val="0"/>
          <w:bCs/>
          <w:color w:val="000000"/>
          <w:kern w:val="2"/>
          <w:sz w:val="32"/>
          <w:szCs w:val="32"/>
          <w:u w:val="none" w:color="auto"/>
          <w:lang w:val="en-US" w:eastAsia="zh-CN" w:bidi="ar-SA"/>
        </w:rPr>
        <w:t>规定，</w:t>
      </w:r>
      <w:r>
        <w:rPr>
          <w:rFonts w:hint="eastAsia" w:ascii="Times New Roman" w:eastAsia="仿宋_GB2312" w:cs="仿宋"/>
          <w:b w:val="0"/>
          <w:bCs/>
          <w:color w:val="000000"/>
          <w:kern w:val="2"/>
          <w:sz w:val="32"/>
          <w:szCs w:val="32"/>
          <w:u w:val="none" w:color="auto"/>
          <w:lang w:val="en-US" w:eastAsia="zh-CN" w:bidi="ar-SA"/>
        </w:rPr>
        <w:t>当事人应当自收</w:t>
      </w:r>
      <w:r>
        <w:rPr>
          <w:rFonts w:hint="eastAsia" w:ascii="Times New Roman" w:hAnsi="Times New Roman" w:eastAsia="仿宋_GB2312" w:cs="仿宋"/>
          <w:b w:val="0"/>
          <w:bCs/>
          <w:color w:val="000000"/>
          <w:kern w:val="2"/>
          <w:sz w:val="32"/>
          <w:szCs w:val="32"/>
          <w:u w:val="none" w:color="auto"/>
          <w:lang w:val="en-US" w:eastAsia="zh-CN" w:bidi="ar-SA"/>
        </w:rPr>
        <w:t>到本处罚决定书之日起</w:t>
      </w:r>
      <w:r>
        <w:rPr>
          <w:rFonts w:hint="eastAsia" w:ascii="Times New Roman" w:eastAsia="仿宋_GB2312" w:cs="仿宋"/>
          <w:b w:val="0"/>
          <w:bCs/>
          <w:color w:val="000000"/>
          <w:kern w:val="2"/>
          <w:sz w:val="32"/>
          <w:szCs w:val="32"/>
          <w:u w:val="none" w:color="auto"/>
          <w:lang w:val="en-US" w:eastAsia="zh-CN" w:bidi="ar-SA"/>
        </w:rPr>
        <w:t>十五</w:t>
      </w:r>
      <w:r>
        <w:rPr>
          <w:rFonts w:hint="eastAsia" w:ascii="Times New Roman" w:hAnsi="Times New Roman" w:eastAsia="仿宋_GB2312" w:cs="仿宋"/>
          <w:b w:val="0"/>
          <w:bCs/>
          <w:color w:val="000000"/>
          <w:kern w:val="2"/>
          <w:sz w:val="32"/>
          <w:szCs w:val="32"/>
          <w:u w:val="none" w:color="auto"/>
          <w:lang w:val="en-US" w:eastAsia="zh-CN" w:bidi="ar-SA"/>
        </w:rPr>
        <w:t>日内携缴款码（到（工、农、中、建）任一银行网点或者网上银行缴纳罚款</w:t>
      </w:r>
      <w:r>
        <w:rPr>
          <w:rFonts w:hint="eastAsia" w:ascii="Times New Roman" w:eastAsia="仿宋_GB2312" w:cs="仿宋"/>
          <w:b w:val="0"/>
          <w:bCs/>
          <w:color w:val="000000"/>
          <w:kern w:val="2"/>
          <w:sz w:val="32"/>
          <w:szCs w:val="32"/>
          <w:u w:val="none" w:color="auto"/>
          <w:lang w:val="en-US" w:eastAsia="zh-CN" w:bidi="ar-SA"/>
        </w:rPr>
        <w:t>，也可微信关注山东财政公众号，点击微服务--非税缴费，缴纳罚款</w:t>
      </w:r>
      <w:bookmarkStart w:id="11" w:name="_GoBack"/>
      <w:bookmarkEnd w:id="11"/>
      <w:r>
        <w:rPr>
          <w:rFonts w:hint="eastAsia" w:ascii="Times New Roman" w:hAnsi="Times New Roman" w:eastAsia="仿宋_GB2312" w:cs="仿宋"/>
          <w:b w:val="0"/>
          <w:bCs/>
          <w:color w:val="000000"/>
          <w:kern w:val="2"/>
          <w:sz w:val="32"/>
          <w:szCs w:val="32"/>
          <w:u w:val="none" w:color="auto"/>
          <w:lang w:val="en-US" w:eastAsia="zh-CN" w:bidi="ar-SA"/>
        </w:rPr>
        <w:t>。</w:t>
      </w:r>
    </w:p>
    <w:p w14:paraId="0FC7D994">
      <w:pPr>
        <w:pStyle w:val="4"/>
        <w:keepNext w:val="0"/>
        <w:keepLines w:val="0"/>
        <w:pageBreakBefore w:val="0"/>
        <w:widowControl w:val="0"/>
        <w:tabs>
          <w:tab w:val="left" w:pos="9060"/>
        </w:tabs>
        <w:kinsoku/>
        <w:overflowPunct/>
        <w:topLinePunct w:val="0"/>
        <w:autoSpaceDE w:val="0"/>
        <w:autoSpaceDN w:val="0"/>
        <w:bidi w:val="0"/>
        <w:adjustRightInd w:val="0"/>
        <w:snapToGrid w:val="0"/>
        <w:spacing w:line="480" w:lineRule="exact"/>
        <w:ind w:firstLine="627" w:firstLineChars="196"/>
        <w:textAlignment w:val="auto"/>
        <w:rPr>
          <w:rFonts w:hint="eastAsia" w:ascii="Times New Roman" w:hAnsi="Times New Roman" w:eastAsia="仿宋_GB2312" w:cs="仿宋"/>
          <w:b w:val="0"/>
          <w:bCs/>
          <w:color w:val="auto"/>
          <w:kern w:val="2"/>
          <w:sz w:val="32"/>
          <w:szCs w:val="32"/>
          <w:u w:val="none" w:color="auto"/>
          <w:lang w:val="en-US" w:eastAsia="zh-CN" w:bidi="ar-SA"/>
        </w:rPr>
      </w:pPr>
      <w:r>
        <w:rPr>
          <w:rFonts w:hint="eastAsia" w:ascii="Times New Roman" w:hAnsi="Times New Roman" w:eastAsia="仿宋_GB2312" w:cs="仿宋"/>
          <w:b w:val="0"/>
          <w:bCs/>
          <w:color w:val="000000"/>
          <w:kern w:val="2"/>
          <w:sz w:val="32"/>
          <w:szCs w:val="32"/>
          <w:u w:val="none" w:color="auto"/>
          <w:lang w:val="en-US" w:eastAsia="zh-CN" w:bidi="ar-SA"/>
        </w:rPr>
        <w:t>逾期不缴纳罚没款的，根据《中华人民共和国行政处罚法》第七十二条的规定，本局将每日按罚款数额的3%加处罚款，并依法申请人民法院强制执行。</w:t>
      </w:r>
    </w:p>
    <w:p w14:paraId="18FF0B0E">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480" w:lineRule="exact"/>
        <w:ind w:firstLine="640" w:firstLineChars="200"/>
        <w:textAlignment w:val="auto"/>
        <w:rPr>
          <w:rFonts w:hint="default" w:ascii="Times New Roman" w:eastAsia="仿宋_GB2312" w:cs="仿宋_GB2312"/>
          <w:b w:val="0"/>
          <w:bCs/>
          <w:color w:val="auto"/>
          <w:u w:val="none"/>
          <w:lang w:val="en-US" w:eastAsia="zh-CN"/>
        </w:rPr>
      </w:pPr>
      <w:r>
        <w:rPr>
          <w:rFonts w:hint="default" w:ascii="Times New Roman" w:hAnsi="Times New Roman" w:eastAsia="仿宋_GB2312" w:cs="Mongolian Baiti"/>
          <w:b w:val="0"/>
          <w:bCs/>
          <w:color w:val="000000"/>
          <w:kern w:val="1"/>
          <w:u w:val="none"/>
          <w:lang w:val="en-US" w:eastAsia="zh-CN"/>
        </w:rPr>
        <w:t>当事人如不服本行政处罚决定，可自收到本行政处罚决定书之日起六十日内，依法向薛城区人民政府申请复议；也可以自收到本行政处罚决定书之日起六个月内依法向薛城区人民法院等有管辖权的人民法院提起行政诉讼。诉讼、复议期间，本行政处罚不停止执行。(网上提交行政复议申请网址:http://124.128.58.185:9082/entrance?redirect=%2Findex)。</w:t>
      </w:r>
    </w:p>
    <w:p w14:paraId="210A0CA0">
      <w:pPr>
        <w:keepNext w:val="0"/>
        <w:keepLines w:val="0"/>
        <w:pageBreakBefore w:val="0"/>
        <w:widowControl/>
        <w:kinsoku/>
        <w:overflowPunct/>
        <w:topLinePunct w:val="0"/>
        <w:bidi w:val="0"/>
        <w:snapToGrid w:val="0"/>
        <w:spacing w:line="480" w:lineRule="exact"/>
        <w:jc w:val="left"/>
        <w:textAlignment w:val="auto"/>
        <w:rPr>
          <w:rFonts w:hint="default" w:ascii="Times New Roman" w:hAnsi="Times New Roman" w:eastAsia="仿宋_GB2312" w:cs="仿宋_GB2312"/>
          <w:color w:val="auto"/>
          <w:sz w:val="32"/>
          <w:szCs w:val="32"/>
          <w:u w:val="none" w:color="auto"/>
          <w:lang w:val="en-US" w:eastAsia="zh-CN"/>
        </w:rPr>
      </w:pPr>
    </w:p>
    <w:p w14:paraId="1E88C1AB">
      <w:pPr>
        <w:keepNext w:val="0"/>
        <w:keepLines w:val="0"/>
        <w:pageBreakBefore w:val="0"/>
        <w:widowControl/>
        <w:kinsoku/>
        <w:overflowPunct/>
        <w:topLinePunct w:val="0"/>
        <w:bidi w:val="0"/>
        <w:snapToGrid w:val="0"/>
        <w:spacing w:line="480" w:lineRule="exact"/>
        <w:ind w:firstLine="6240" w:firstLineChars="1950"/>
        <w:jc w:val="left"/>
        <w:textAlignment w:val="auto"/>
        <w:rPr>
          <w:rFonts w:hint="eastAsia" w:ascii="Times New Roman" w:hAnsi="Times New Roman" w:eastAsia="仿宋_GB2312" w:cs="仿宋_GB2312"/>
          <w:color w:val="auto"/>
          <w:sz w:val="32"/>
          <w:szCs w:val="32"/>
          <w:u w:val="none" w:color="auto"/>
          <w:lang w:val="en-US" w:eastAsia="zh-Hans"/>
        </w:rPr>
      </w:pPr>
    </w:p>
    <w:p w14:paraId="0AEC279F">
      <w:pPr>
        <w:keepNext w:val="0"/>
        <w:keepLines w:val="0"/>
        <w:pageBreakBefore w:val="0"/>
        <w:kinsoku/>
        <w:overflowPunct/>
        <w:topLinePunct w:val="0"/>
        <w:bidi w:val="0"/>
        <w:spacing w:line="480" w:lineRule="exact"/>
        <w:ind w:right="640" w:firstLine="601"/>
        <w:jc w:val="right"/>
        <w:textAlignment w:val="auto"/>
        <w:rPr>
          <w:rFonts w:ascii="Times New Roman" w:hAnsi="Times New Roman" w:eastAsia="仿宋_GB2312" w:cs="仿宋"/>
          <w:color w:val="auto"/>
          <w:sz w:val="32"/>
          <w:szCs w:val="32"/>
          <w:u w:val="none" w:color="auto"/>
        </w:rPr>
      </w:pPr>
      <w:bookmarkStart w:id="9" w:name="DYNAMIC—DWXX—tAj_dwmc—2"/>
      <w:r>
        <w:rPr>
          <w:rFonts w:hint="eastAsia" w:ascii="Times New Roman" w:hAnsi="Times New Roman" w:eastAsia="仿宋_GB2312" w:cs="仿宋"/>
          <w:color w:val="auto"/>
          <w:sz w:val="32"/>
          <w:u w:val="none" w:color="auto"/>
        </w:rPr>
        <w:t>薛城区市场监督管理局</w:t>
      </w:r>
      <w:bookmarkEnd w:id="9"/>
      <w:r>
        <w:rPr>
          <w:rFonts w:hint="eastAsia" w:ascii="Times New Roman" w:hAnsi="Times New Roman" w:eastAsia="仿宋_GB2312" w:cs="仿宋"/>
          <w:color w:val="auto"/>
          <w:sz w:val="32"/>
          <w:szCs w:val="32"/>
          <w:u w:val="none" w:color="auto"/>
        </w:rPr>
        <w:t xml:space="preserve">    </w:t>
      </w:r>
    </w:p>
    <w:p w14:paraId="1046BAE6">
      <w:pPr>
        <w:keepNext w:val="0"/>
        <w:keepLines w:val="0"/>
        <w:pageBreakBefore w:val="0"/>
        <w:kinsoku/>
        <w:overflowPunct/>
        <w:topLinePunct w:val="0"/>
        <w:bidi w:val="0"/>
        <w:spacing w:line="480" w:lineRule="exact"/>
        <w:ind w:right="640" w:firstLine="601"/>
        <w:jc w:val="right"/>
        <w:textAlignment w:val="auto"/>
        <w:outlineLvl w:val="1"/>
        <w:rPr>
          <w:rFonts w:ascii="Times New Roman" w:hAnsi="Times New Roman" w:eastAsia="仿宋_GB2312" w:cs="仿宋"/>
          <w:color w:val="auto"/>
          <w:sz w:val="32"/>
          <w:szCs w:val="32"/>
          <w:u w:val="none" w:color="auto"/>
        </w:rPr>
      </w:pPr>
    </w:p>
    <w:p w14:paraId="2AEF22CE">
      <w:pPr>
        <w:keepNext w:val="0"/>
        <w:keepLines w:val="0"/>
        <w:pageBreakBefore w:val="0"/>
        <w:widowControl w:val="0"/>
        <w:kinsoku/>
        <w:wordWrap/>
        <w:overflowPunct/>
        <w:topLinePunct w:val="0"/>
        <w:autoSpaceDE/>
        <w:autoSpaceDN/>
        <w:bidi w:val="0"/>
        <w:adjustRightInd/>
        <w:snapToGrid/>
        <w:spacing w:line="48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u w:val="none" w:color="auto"/>
        </w:rPr>
      </w:pPr>
      <w:bookmarkStart w:id="10" w:name="CALCULATE—TIME—NOW"/>
      <w:r>
        <w:rPr>
          <w:rFonts w:hint="eastAsia" w:ascii="仿宋_GB2312" w:hAnsi="Times New Roman" w:eastAsia="仿宋_GB2312" w:cs="仿宋"/>
          <w:color w:val="auto"/>
          <w:sz w:val="32"/>
          <w:u w:val="none" w:color="auto"/>
        </w:rPr>
        <w:t>2026年</w:t>
      </w:r>
      <w:r>
        <w:rPr>
          <w:rFonts w:hint="eastAsia" w:ascii="仿宋_GB2312" w:hAnsi="Times New Roman" w:eastAsia="仿宋_GB2312" w:cs="仿宋"/>
          <w:color w:val="auto"/>
          <w:sz w:val="32"/>
          <w:u w:val="none" w:color="auto"/>
          <w:lang w:val="en-US" w:eastAsia="zh-CN"/>
        </w:rPr>
        <w:t>8</w:t>
      </w:r>
      <w:r>
        <w:rPr>
          <w:rFonts w:hint="eastAsia" w:ascii="仿宋_GB2312" w:hAnsi="Times New Roman" w:eastAsia="仿宋_GB2312" w:cs="仿宋"/>
          <w:color w:val="auto"/>
          <w:sz w:val="32"/>
          <w:u w:val="none" w:color="auto"/>
        </w:rPr>
        <w:t>月</w:t>
      </w:r>
      <w:r>
        <w:rPr>
          <w:rFonts w:hint="eastAsia" w:ascii="仿宋_GB2312" w:hAnsi="Times New Roman" w:eastAsia="仿宋_GB2312" w:cs="仿宋"/>
          <w:color w:val="auto"/>
          <w:sz w:val="32"/>
          <w:u w:val="none" w:color="auto"/>
          <w:lang w:val="en-US" w:eastAsia="zh-CN"/>
        </w:rPr>
        <w:t>11</w:t>
      </w:r>
      <w:r>
        <w:rPr>
          <w:rFonts w:hint="eastAsia" w:ascii="仿宋_GB2312" w:hAnsi="Times New Roman" w:eastAsia="仿宋_GB2312" w:cs="仿宋"/>
          <w:color w:val="auto"/>
          <w:sz w:val="32"/>
          <w:u w:val="none" w:color="auto"/>
        </w:rPr>
        <w:t>日</w:t>
      </w:r>
      <w:bookmarkEnd w:id="10"/>
      <w:r>
        <w:rPr>
          <w:rFonts w:hint="eastAsia" w:ascii="Times New Roman" w:hAnsi="Times New Roman" w:eastAsia="仿宋_GB2312" w:cs="仿宋_GB2312"/>
          <w:color w:val="auto"/>
          <w:sz w:val="32"/>
          <w:szCs w:val="32"/>
          <w:u w:val="none" w:color="auto"/>
        </w:rPr>
        <w:t xml:space="preserve">  </w:t>
      </w:r>
    </w:p>
    <w:p w14:paraId="2EC8CA14">
      <w:pPr>
        <w:widowControl/>
        <w:snapToGrid w:val="0"/>
        <w:spacing w:line="520" w:lineRule="exact"/>
        <w:jc w:val="right"/>
        <w:rPr>
          <w:rFonts w:ascii="Times New Roman" w:hAnsi="Times New Roman" w:eastAsia="仿宋_GB2312" w:cs="Mongolian Baiti"/>
          <w:color w:val="auto"/>
          <w:sz w:val="32"/>
          <w:szCs w:val="32"/>
          <w:u w:val="none" w:color="auto"/>
        </w:rPr>
      </w:pPr>
    </w:p>
    <w:p w14:paraId="3431A3B9">
      <w:pPr>
        <w:pStyle w:val="2"/>
      </w:pPr>
    </w:p>
    <w:p w14:paraId="38B3DDC9">
      <w:pPr>
        <w:pStyle w:val="2"/>
      </w:pPr>
    </w:p>
    <w:p w14:paraId="70C5EE28">
      <w:pPr>
        <w:pStyle w:val="2"/>
      </w:pPr>
    </w:p>
    <w:p w14:paraId="06180C13">
      <w:pPr>
        <w:pStyle w:val="2"/>
      </w:pPr>
    </w:p>
    <w:p w14:paraId="13A6C589">
      <w:pPr>
        <w:pStyle w:val="2"/>
      </w:pPr>
    </w:p>
    <w:p w14:paraId="5BC691E9">
      <w:pPr>
        <w:pStyle w:val="2"/>
      </w:pPr>
    </w:p>
    <w:p w14:paraId="212E49D6">
      <w:pPr>
        <w:pStyle w:val="2"/>
      </w:pPr>
    </w:p>
    <w:p w14:paraId="7D4C5DF2">
      <w:pPr>
        <w:pStyle w:val="2"/>
      </w:pPr>
    </w:p>
    <w:p w14:paraId="49FB17B2">
      <w:pPr>
        <w:pStyle w:val="2"/>
      </w:pPr>
    </w:p>
    <w:p w14:paraId="0E5032E4">
      <w:pPr>
        <w:pStyle w:val="2"/>
      </w:pPr>
    </w:p>
    <w:p w14:paraId="2E0C1C58">
      <w:pPr>
        <w:pStyle w:val="2"/>
      </w:pPr>
    </w:p>
    <w:p w14:paraId="4DF41EEE">
      <w:pPr>
        <w:pStyle w:val="2"/>
      </w:pPr>
    </w:p>
    <w:p w14:paraId="49EA38BA">
      <w:pPr>
        <w:pStyle w:val="2"/>
      </w:pPr>
    </w:p>
    <w:p w14:paraId="61A5892E">
      <w:pPr>
        <w:pStyle w:val="4"/>
        <w:spacing w:before="1"/>
        <w:ind w:left="163"/>
        <w:rPr>
          <w:rFonts w:ascii="Times New Roman" w:hAnsi="Times New Roman" w:eastAsia="仿宋_GB2312" w:cs="仿宋"/>
          <w:bCs/>
          <w:color w:val="auto"/>
          <w:sz w:val="44"/>
          <w:szCs w:val="44"/>
          <w:u w:val="none" w:color="auto"/>
        </w:rPr>
      </w:pPr>
      <w:r>
        <w:rPr>
          <w:rFonts w:ascii="Times New Roman" w:hAnsi="Times New Roman" w:eastAsia="仿宋_GB2312"/>
          <w:color w:val="auto"/>
          <w:sz w:val="32"/>
          <w:u w:val="none" w:color="auto"/>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auto"/>
          <w:spacing w:val="-16"/>
          <w:u w:val="none" w:color="auto"/>
        </w:rPr>
        <w:t>（市场监督管理部门将依法向社会公开行政处罚决定信息）</w:t>
      </w:r>
    </w:p>
    <w:p w14:paraId="070B9F30">
      <w:pPr>
        <w:spacing w:line="500" w:lineRule="exact"/>
        <w:rPr>
          <w:color w:val="auto"/>
          <w:u w:val="none" w:color="auto"/>
        </w:rPr>
      </w:pPr>
      <w:r>
        <w:rPr>
          <w:rFonts w:ascii="Times New Roman" w:hAnsi="Times New Roman" w:eastAsia="仿宋_GB2312" w:cs="仿宋"/>
          <w:bCs/>
          <w:color w:val="auto"/>
          <w:sz w:val="32"/>
          <w:szCs w:val="32"/>
          <w:u w:val="none" w:color="auto"/>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auto"/>
          <w:sz w:val="32"/>
          <w:szCs w:val="32"/>
          <w:u w:val="none" w:color="auto"/>
        </w:rPr>
        <w:t>本文书一式</w:t>
      </w:r>
      <w:r>
        <w:rPr>
          <w:rFonts w:hint="eastAsia" w:ascii="Times New Roman" w:hAnsi="Times New Roman" w:eastAsia="仿宋_GB2312" w:cs="仿宋"/>
          <w:color w:val="auto"/>
          <w:sz w:val="32"/>
          <w:szCs w:val="32"/>
          <w:u w:val="none" w:color="auto"/>
          <w:lang w:val="en-US" w:eastAsia="zh-CN"/>
        </w:rPr>
        <w:t>二</w:t>
      </w:r>
      <w:r>
        <w:rPr>
          <w:rFonts w:hint="eastAsia" w:ascii="Times New Roman" w:hAnsi="Times New Roman" w:eastAsia="仿宋_GB2312" w:cs="仿宋"/>
          <w:color w:val="auto"/>
          <w:sz w:val="32"/>
          <w:szCs w:val="32"/>
          <w:u w:val="none" w:color="auto"/>
        </w:rPr>
        <w:t>份，</w:t>
      </w:r>
      <w:r>
        <w:rPr>
          <w:rFonts w:hint="eastAsia" w:ascii="Times New Roman" w:hAnsi="Times New Roman" w:eastAsia="仿宋_GB2312" w:cs="仿宋"/>
          <w:color w:val="auto"/>
          <w:sz w:val="32"/>
          <w:szCs w:val="32"/>
          <w:u w:val="none" w:color="auto"/>
          <w:lang w:val="en-US" w:eastAsia="zh-CN"/>
        </w:rPr>
        <w:t>一</w:t>
      </w:r>
      <w:r>
        <w:rPr>
          <w:rFonts w:hint="eastAsia" w:ascii="Times New Roman" w:hAnsi="Times New Roman" w:eastAsia="仿宋_GB2312" w:cs="仿宋"/>
          <w:color w:val="auto"/>
          <w:sz w:val="32"/>
          <w:szCs w:val="32"/>
          <w:u w:val="none" w:color="auto"/>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ngal">
    <w:altName w:val="C059"/>
    <w:panose1 w:val="000004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ongolian Baiti">
    <w:altName w:val="C059"/>
    <w:panose1 w:val="03000500000000000000"/>
    <w:charset w:val="00"/>
    <w:family w:val="script"/>
    <w:pitch w:val="default"/>
    <w:sig w:usb0="00000000" w:usb1="00000000" w:usb2="00020000" w:usb3="00000000" w:csb0="0000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539E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80D29">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680D29">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wMjM0NTNjNGJkMDk1MzQzN2U2NjQ5OGI4NTBhYTgifQ=="/>
    <w:docVar w:name="KSO_WPS_MARK_KEY" w:val="ad3abea3-8ba7-47a2-bc3f-332894d4261f"/>
  </w:docVars>
  <w:rsids>
    <w:rsidRoot w:val="5BA419F7"/>
    <w:rsid w:val="00193C35"/>
    <w:rsid w:val="0032134F"/>
    <w:rsid w:val="02B83402"/>
    <w:rsid w:val="04CD463F"/>
    <w:rsid w:val="04FA4431"/>
    <w:rsid w:val="06BAE61F"/>
    <w:rsid w:val="071C7669"/>
    <w:rsid w:val="0776795A"/>
    <w:rsid w:val="08365B64"/>
    <w:rsid w:val="0A8E2B46"/>
    <w:rsid w:val="0B22091D"/>
    <w:rsid w:val="0CF71776"/>
    <w:rsid w:val="103E22C5"/>
    <w:rsid w:val="1350279A"/>
    <w:rsid w:val="14203063"/>
    <w:rsid w:val="143E1E38"/>
    <w:rsid w:val="152E563E"/>
    <w:rsid w:val="15B93156"/>
    <w:rsid w:val="17B677D9"/>
    <w:rsid w:val="18325353"/>
    <w:rsid w:val="18B229B2"/>
    <w:rsid w:val="19FE4517"/>
    <w:rsid w:val="1AE345F4"/>
    <w:rsid w:val="1C9C2B08"/>
    <w:rsid w:val="1DA4420A"/>
    <w:rsid w:val="1F2B5D07"/>
    <w:rsid w:val="1FD31F15"/>
    <w:rsid w:val="236534A4"/>
    <w:rsid w:val="244E1F2B"/>
    <w:rsid w:val="24626694"/>
    <w:rsid w:val="258D6CE0"/>
    <w:rsid w:val="2B1B3EFC"/>
    <w:rsid w:val="2CEA3815"/>
    <w:rsid w:val="2DE10173"/>
    <w:rsid w:val="2F327E79"/>
    <w:rsid w:val="2F7CE1EF"/>
    <w:rsid w:val="2FA05CD4"/>
    <w:rsid w:val="30DB5683"/>
    <w:rsid w:val="342602B0"/>
    <w:rsid w:val="3585615B"/>
    <w:rsid w:val="368E5656"/>
    <w:rsid w:val="377FBB27"/>
    <w:rsid w:val="37F16547"/>
    <w:rsid w:val="38B63DA7"/>
    <w:rsid w:val="3930619F"/>
    <w:rsid w:val="3A4E178D"/>
    <w:rsid w:val="3BF97ECA"/>
    <w:rsid w:val="3C2965F0"/>
    <w:rsid w:val="3F2604DF"/>
    <w:rsid w:val="3F6783E4"/>
    <w:rsid w:val="3FFF82D4"/>
    <w:rsid w:val="402E7C06"/>
    <w:rsid w:val="40FE5F8F"/>
    <w:rsid w:val="425049CE"/>
    <w:rsid w:val="4659781C"/>
    <w:rsid w:val="48C10000"/>
    <w:rsid w:val="4A256B30"/>
    <w:rsid w:val="4B8F0B22"/>
    <w:rsid w:val="4BD32FF0"/>
    <w:rsid w:val="4C02380F"/>
    <w:rsid w:val="4CC8271B"/>
    <w:rsid w:val="4D9306AE"/>
    <w:rsid w:val="4E8950D9"/>
    <w:rsid w:val="4F0457DF"/>
    <w:rsid w:val="547C0750"/>
    <w:rsid w:val="57503162"/>
    <w:rsid w:val="591F0542"/>
    <w:rsid w:val="5BA419F7"/>
    <w:rsid w:val="5BF91583"/>
    <w:rsid w:val="5BFB2E57"/>
    <w:rsid w:val="5DD7483B"/>
    <w:rsid w:val="5E5FAB03"/>
    <w:rsid w:val="5F9FEDD5"/>
    <w:rsid w:val="5FBEF003"/>
    <w:rsid w:val="5FE33914"/>
    <w:rsid w:val="5FFA4D85"/>
    <w:rsid w:val="602422E6"/>
    <w:rsid w:val="60B635F2"/>
    <w:rsid w:val="612E7E8C"/>
    <w:rsid w:val="64E43803"/>
    <w:rsid w:val="66733921"/>
    <w:rsid w:val="69690BB2"/>
    <w:rsid w:val="6AD7030F"/>
    <w:rsid w:val="6BCC1BB9"/>
    <w:rsid w:val="6D923254"/>
    <w:rsid w:val="6E04767D"/>
    <w:rsid w:val="6E6950E9"/>
    <w:rsid w:val="6F732ABB"/>
    <w:rsid w:val="6FF58B64"/>
    <w:rsid w:val="6FF8F863"/>
    <w:rsid w:val="70CF02CA"/>
    <w:rsid w:val="71013020"/>
    <w:rsid w:val="710D7C3E"/>
    <w:rsid w:val="7376089F"/>
    <w:rsid w:val="75B2DA43"/>
    <w:rsid w:val="75BD90DB"/>
    <w:rsid w:val="77DF8BD4"/>
    <w:rsid w:val="77EFD5CC"/>
    <w:rsid w:val="77FFADAC"/>
    <w:rsid w:val="790F16EA"/>
    <w:rsid w:val="7B0F6E9A"/>
    <w:rsid w:val="7BFD6076"/>
    <w:rsid w:val="7C8E43D6"/>
    <w:rsid w:val="7DA813EB"/>
    <w:rsid w:val="7DFF108F"/>
    <w:rsid w:val="7EED8AE6"/>
    <w:rsid w:val="7F472722"/>
    <w:rsid w:val="7F88470B"/>
    <w:rsid w:val="7FEADF5C"/>
    <w:rsid w:val="91BF8AB9"/>
    <w:rsid w:val="9FF1B21D"/>
    <w:rsid w:val="B7BFD803"/>
    <w:rsid w:val="BD5EB179"/>
    <w:rsid w:val="BD7F788E"/>
    <w:rsid w:val="BDAF8E33"/>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2754</Words>
  <Characters>2965</Characters>
  <Lines>0</Lines>
  <Paragraphs>0</Paragraphs>
  <TotalTime>13</TotalTime>
  <ScaleCrop>false</ScaleCrop>
  <LinksUpToDate>false</LinksUpToDate>
  <CharactersWithSpaces>3386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01sj</cp:lastModifiedBy>
  <cp:lastPrinted>2026-08-11T09:59:00Z</cp:lastPrinted>
  <dcterms:modified xsi:type="dcterms:W3CDTF">2026-08-11T16:54:18Z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BCCA5C94382142489E9030A6EE87BFA9_13</vt:lpwstr>
  </property>
  <property fmtid="{D5CDD505-2E9C-101B-9397-08002B2CF9AE}" pid="4" name="KSOTemplateDocerSaveRecord">
    <vt:lpwstr>eyJoZGlkIjoiMzk1OTEyNjE0Yzc4YTNiNDMyNGQ5NDk3ZDFjNWQ1ZWIiLCJ1c2VySWQiOiI5MDMxMTAwNDEifQ==</vt:lpwstr>
  </property>
</Properties>
</file>