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3CD8C">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eastAsia" w:ascii="方正小标宋简体" w:hAnsi="方正小标宋简体" w:eastAsia="方正小标宋简体" w:cs="方正小标宋简体"/>
          <w:color w:val="auto"/>
          <w:sz w:val="44"/>
          <w:szCs w:val="44"/>
          <w:lang w:val="en-US" w:eastAsia="zh-CN"/>
        </w:rPr>
        <w:t>枣庄市</w:t>
      </w:r>
      <w:r>
        <w:rPr>
          <w:rFonts w:hint="default" w:ascii="方正小标宋简体" w:hAnsi="方正小标宋简体" w:eastAsia="方正小标宋简体" w:cs="方正小标宋简体"/>
          <w:color w:val="auto"/>
          <w:sz w:val="44"/>
          <w:szCs w:val="44"/>
        </w:rPr>
        <w:t>薛城区市场监督管理局</w:t>
      </w:r>
      <w:bookmarkEnd w:id="0"/>
    </w:p>
    <w:p w14:paraId="7D263371">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7EA39DC5">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szCs w:val="32"/>
        </w:rPr>
        <w:t>薛市监处罚〔2026〕727号</w:t>
      </w:r>
      <w:bookmarkEnd w:id="2"/>
    </w:p>
    <w:p w14:paraId="01D329AB">
      <w:pPr>
        <w:spacing w:before="315" w:beforeLines="100" w:line="540" w:lineRule="exact"/>
        <w:ind w:left="142" w:hanging="142"/>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kern w:val="1"/>
          <w:sz w:val="32"/>
          <w:szCs w:val="32"/>
        </w:rPr>
        <w:t>当事人：</w:t>
      </w:r>
      <w:bookmarkStart w:id="3" w:name="CALCULATE—DSR—tAjDsrs_cMc"/>
      <w:r>
        <w:rPr>
          <w:rFonts w:hint="eastAsia" w:ascii="仿宋" w:hAnsi="仿宋" w:eastAsia="仿宋" w:cs="仿宋"/>
          <w:b w:val="0"/>
          <w:color w:val="auto"/>
          <w:sz w:val="32"/>
          <w:szCs w:val="32"/>
          <w:u w:val="single"/>
        </w:rPr>
        <w:t>枣庄薛城区大迈众旺超市（个体工商户）</w:t>
      </w:r>
      <w:bookmarkEnd w:id="3"/>
      <w:r>
        <w:rPr>
          <w:rFonts w:hint="eastAsia" w:ascii="仿宋" w:hAnsi="仿宋" w:eastAsia="仿宋" w:cs="仿宋"/>
          <w:b w:val="0"/>
          <w:bCs/>
          <w:color w:val="auto"/>
          <w:kern w:val="1"/>
          <w:sz w:val="32"/>
          <w:szCs w:val="32"/>
          <w:u w:val="single"/>
        </w:rPr>
        <w:t xml:space="preserve">                                            </w:t>
      </w:r>
    </w:p>
    <w:p w14:paraId="3CFD1A68">
      <w:pPr>
        <w:spacing w:line="540" w:lineRule="exact"/>
        <w:ind w:left="140" w:hanging="140"/>
        <w:rPr>
          <w:rFonts w:hint="eastAsia" w:ascii="仿宋" w:hAnsi="仿宋" w:eastAsia="仿宋" w:cs="仿宋"/>
          <w:b w:val="0"/>
          <w:bCs/>
          <w:color w:val="auto"/>
          <w:kern w:val="1"/>
          <w:sz w:val="32"/>
          <w:szCs w:val="32"/>
          <w:u w:val="single"/>
        </w:rPr>
      </w:pPr>
      <w:r>
        <w:rPr>
          <w:rFonts w:hint="eastAsia" w:ascii="仿宋" w:hAnsi="仿宋" w:eastAsia="仿宋" w:cs="仿宋"/>
          <w:b w:val="0"/>
          <w:bCs/>
          <w:color w:val="auto"/>
          <w:kern w:val="1"/>
          <w:sz w:val="32"/>
          <w:szCs w:val="32"/>
        </w:rPr>
        <w:t>主体资格证照名称：</w:t>
      </w:r>
      <w:bookmarkStart w:id="4" w:name="CALCULATE—DSR—tAjDsrs_cZtzgzzmc"/>
      <w:r>
        <w:rPr>
          <w:rFonts w:hint="eastAsia" w:ascii="仿宋" w:hAnsi="仿宋" w:eastAsia="仿宋" w:cs="仿宋"/>
          <w:b w:val="0"/>
          <w:color w:val="auto"/>
          <w:sz w:val="32"/>
          <w:szCs w:val="32"/>
          <w:u w:val="single"/>
        </w:rPr>
        <w:t>营业执照</w:t>
      </w:r>
      <w:bookmarkEnd w:id="4"/>
      <w:r>
        <w:rPr>
          <w:rFonts w:hint="eastAsia" w:ascii="仿宋" w:hAnsi="仿宋" w:eastAsia="仿宋" w:cs="仿宋"/>
          <w:b w:val="0"/>
          <w:bCs/>
          <w:color w:val="auto"/>
          <w:kern w:val="1"/>
          <w:sz w:val="32"/>
          <w:szCs w:val="32"/>
          <w:u w:val="single"/>
        </w:rPr>
        <w:t xml:space="preserve">                                  </w:t>
      </w:r>
    </w:p>
    <w:p w14:paraId="6112D816">
      <w:pPr>
        <w:spacing w:line="540" w:lineRule="exact"/>
        <w:ind w:left="140" w:hanging="140"/>
        <w:rPr>
          <w:rFonts w:hint="eastAsia" w:ascii="仿宋" w:hAnsi="仿宋" w:eastAsia="仿宋" w:cs="仿宋"/>
          <w:b w:val="0"/>
          <w:bCs/>
          <w:color w:val="auto"/>
          <w:kern w:val="1"/>
          <w:sz w:val="32"/>
          <w:szCs w:val="32"/>
          <w:u w:val="single"/>
          <w:lang w:val="en-US" w:eastAsia="zh-CN"/>
        </w:rPr>
      </w:pPr>
      <w:r>
        <w:rPr>
          <w:rFonts w:hint="eastAsia" w:ascii="仿宋" w:hAnsi="仿宋" w:eastAsia="仿宋" w:cs="仿宋"/>
          <w:b w:val="0"/>
          <w:bCs/>
          <w:color w:val="auto"/>
          <w:kern w:val="1"/>
          <w:sz w:val="32"/>
          <w:szCs w:val="32"/>
        </w:rPr>
        <w:t>统一社会信用代码：</w:t>
      </w:r>
      <w:bookmarkStart w:id="5" w:name="CALCULATE—DSR—tAjDsrs_cTzshxydm"/>
      <w:r>
        <w:rPr>
          <w:rFonts w:hint="eastAsia" w:ascii="仿宋" w:hAnsi="仿宋" w:eastAsia="仿宋" w:cs="仿宋"/>
          <w:b w:val="0"/>
          <w:color w:val="auto"/>
          <w:sz w:val="32"/>
          <w:szCs w:val="32"/>
          <w:u w:val="single"/>
        </w:rPr>
        <w:t>92370403MADFQY3D49</w:t>
      </w:r>
      <w:bookmarkEnd w:id="5"/>
      <w:r>
        <w:rPr>
          <w:rFonts w:hint="eastAsia" w:ascii="仿宋" w:hAnsi="仿宋" w:eastAsia="仿宋" w:cs="仿宋"/>
          <w:b w:val="0"/>
          <w:bCs/>
          <w:color w:val="auto"/>
          <w:kern w:val="1"/>
          <w:sz w:val="32"/>
          <w:szCs w:val="32"/>
          <w:u w:val="single"/>
        </w:rPr>
        <w:t xml:space="preserve">                                  </w:t>
      </w:r>
    </w:p>
    <w:p w14:paraId="7EDC33E1">
      <w:pPr>
        <w:spacing w:line="540" w:lineRule="exact"/>
        <w:ind w:left="140" w:hanging="140"/>
        <w:rPr>
          <w:rFonts w:hint="eastAsia" w:ascii="仿宋" w:hAnsi="仿宋" w:eastAsia="仿宋" w:cs="仿宋"/>
          <w:b w:val="0"/>
          <w:bCs/>
          <w:color w:val="auto"/>
          <w:kern w:val="1"/>
          <w:sz w:val="32"/>
          <w:szCs w:val="32"/>
          <w:lang w:val="en-US" w:eastAsia="zh-CN"/>
        </w:rPr>
      </w:pPr>
      <w:r>
        <w:rPr>
          <w:rFonts w:hint="eastAsia" w:ascii="仿宋" w:hAnsi="仿宋" w:eastAsia="仿宋" w:cs="仿宋"/>
          <w:b w:val="0"/>
          <w:bCs/>
          <w:color w:val="auto"/>
          <w:kern w:val="1"/>
          <w:sz w:val="32"/>
          <w:szCs w:val="32"/>
        </w:rPr>
        <w:t>住所（住址）：</w:t>
      </w:r>
      <w:bookmarkStart w:id="6" w:name="CALCULATE—DSR—tAjDsrs_cLxdzSheng"/>
      <w:r>
        <w:rPr>
          <w:rFonts w:hint="eastAsia" w:ascii="仿宋" w:hAnsi="仿宋" w:eastAsia="仿宋" w:cs="仿宋"/>
          <w:b w:val="0"/>
          <w:color w:val="auto"/>
          <w:sz w:val="32"/>
          <w:szCs w:val="32"/>
          <w:u w:val="single"/>
        </w:rPr>
        <w:t>山东省枣庄市山东省枣庄市薛城临城街道临山路12号皇冠大酒店A座一层A5号01-10商铺</w:t>
      </w:r>
      <w:bookmarkEnd w:id="6"/>
      <w:r>
        <w:rPr>
          <w:rFonts w:hint="eastAsia" w:ascii="仿宋" w:hAnsi="仿宋" w:eastAsia="仿宋" w:cs="仿宋"/>
          <w:b w:val="0"/>
          <w:bCs/>
          <w:color w:val="auto"/>
          <w:kern w:val="1"/>
          <w:sz w:val="32"/>
          <w:szCs w:val="32"/>
          <w:u w:val="single"/>
        </w:rPr>
        <w:t xml:space="preserve">                                      </w:t>
      </w:r>
      <w:r>
        <w:rPr>
          <w:rFonts w:hint="eastAsia" w:ascii="仿宋" w:hAnsi="仿宋" w:eastAsia="仿宋" w:cs="仿宋"/>
          <w:b w:val="0"/>
          <w:bCs/>
          <w:color w:val="auto"/>
          <w:kern w:val="1"/>
          <w:sz w:val="32"/>
          <w:szCs w:val="32"/>
          <w:u w:val="single"/>
          <w:lang w:val="en-US" w:eastAsia="zh-CN"/>
        </w:rPr>
        <w:t xml:space="preserve"> </w:t>
      </w:r>
    </w:p>
    <w:p w14:paraId="29EB9176">
      <w:pPr>
        <w:spacing w:line="540" w:lineRule="exact"/>
        <w:ind w:left="140" w:hanging="140"/>
        <w:rPr>
          <w:rFonts w:hint="eastAsia" w:ascii="仿宋" w:hAnsi="仿宋" w:eastAsia="仿宋" w:cs="仿宋"/>
          <w:b w:val="0"/>
          <w:bCs/>
          <w:color w:val="auto"/>
          <w:kern w:val="1"/>
          <w:sz w:val="32"/>
          <w:szCs w:val="32"/>
          <w:u w:val="single"/>
          <w:lang w:val="en-US" w:eastAsia="zh-CN"/>
        </w:rPr>
      </w:pPr>
      <w:bookmarkStart w:id="9" w:name="_GoBack"/>
      <w:bookmarkEnd w:id="9"/>
      <w:r>
        <w:rPr>
          <w:rFonts w:hint="eastAsia" w:ascii="仿宋" w:hAnsi="仿宋" w:eastAsia="仿宋" w:cs="仿宋"/>
          <w:b w:val="0"/>
          <w:bCs/>
          <w:color w:val="auto"/>
          <w:kern w:val="1"/>
          <w:sz w:val="32"/>
          <w:szCs w:val="32"/>
          <w:u w:val="single"/>
        </w:rPr>
        <w:t xml:space="preserve">                </w:t>
      </w:r>
    </w:p>
    <w:p w14:paraId="744D6392">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枣庄市市场监督管理局于2026年7月30日委托山东三方联检检测技术有限公司对当事人进行</w:t>
      </w:r>
      <w:r>
        <w:rPr>
          <w:rFonts w:hint="eastAsia" w:ascii="仿宋" w:hAnsi="仿宋" w:eastAsia="仿宋" w:cs="仿宋"/>
          <w:spacing w:val="0"/>
          <w:w w:val="100"/>
          <w:sz w:val="32"/>
          <w:szCs w:val="32"/>
          <w:lang w:val="en-US" w:eastAsia="zh-CN"/>
        </w:rPr>
        <w:t>产品质量监督抽查</w:t>
      </w:r>
      <w:r>
        <w:rPr>
          <w:rFonts w:hint="eastAsia" w:ascii="仿宋" w:hAnsi="仿宋" w:eastAsia="仿宋" w:cs="仿宋"/>
          <w:spacing w:val="0"/>
          <w:w w:val="100"/>
          <w:sz w:val="32"/>
          <w:szCs w:val="32"/>
          <w:lang w:eastAsia="zh-CN"/>
        </w:rPr>
        <w:t>检验</w:t>
      </w:r>
      <w:r>
        <w:rPr>
          <w:rFonts w:hint="eastAsia" w:ascii="仿宋" w:hAnsi="仿宋" w:eastAsia="仿宋" w:cs="仿宋"/>
          <w:color w:val="221E1F"/>
          <w:spacing w:val="0"/>
          <w:w w:val="100"/>
          <w:sz w:val="32"/>
          <w:szCs w:val="32"/>
          <w:u w:val="none"/>
          <w:lang w:val="en-US" w:eastAsia="zh-CN"/>
        </w:rPr>
        <w:t>，当事人经营的标示为莒县振兴塑料有限公司生产的非食品接触塑料购物袋【规格型号：6kg 550mm*(350+70）mm+0.025mm】的检验结论：经抽样检验，环保要求项目不符合GB/T 21661-2020《塑料购物袋》标准，判定为被抽查产品不合格。检验报告编号:SF/20260731004。</w:t>
      </w:r>
    </w:p>
    <w:p w14:paraId="587F0D38">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我局执法人员于2026年9月2日向当事人送达了上述检验报告，由店长张慧签收，并告知如对本检验结果有异议，可在收到检验报告之日起十五日内提出书面异议处理申请，逾期视为放弃该项权利。现场检查未发现上述抽样检验不合格的非食品接触塑料购物袋；依据《中华人民共和国产品质量法》第十七条第一款的规定，现场下达了《责令改正通知书》（薛市监责改〔2026〕15号），责令当事人限期改正违法行为。</w:t>
      </w:r>
    </w:p>
    <w:p w14:paraId="1F8A824D">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经初步审查，当事人经营不合格的非食品接触塑料购物袋的行为，涉嫌违反了《中华人民共和国产品质量法》第三十九条“销售者销售产品，不得掺杂、掺假，不得以假充真、以次充好，不得以不合格产品冒充合格产品”的规定，于2026年9月7日经我局领导批准予以立案。</w:t>
      </w:r>
    </w:p>
    <w:p w14:paraId="4C0806D8">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当事人在法定期限内未对检验结果提出异议。2026年9月22日，办案人员对受委托人张慧进行了调查询问，形成《询问笔录》1份。</w:t>
      </w:r>
    </w:p>
    <w:p w14:paraId="125A35AE">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经调查，当事人于2026年5月20日购进涉案塑料购物袋800条，购进价为0.10元/条，全部销售完毕，销售价为0.20元/条，货值160元，获利80元。当事人提供涉案产品</w:t>
      </w:r>
      <w:r>
        <w:rPr>
          <w:rFonts w:hint="eastAsia" w:ascii="仿宋" w:hAnsi="仿宋" w:eastAsia="仿宋" w:cs="仿宋"/>
          <w:bCs/>
          <w:spacing w:val="0"/>
          <w:w w:val="100"/>
          <w:sz w:val="32"/>
          <w:szCs w:val="32"/>
          <w:u w:val="none" w:color="auto"/>
          <w:lang w:val="en-US" w:eastAsia="zh-CN"/>
        </w:rPr>
        <w:t>的收货单等合法必要支出证据材料</w:t>
      </w:r>
      <w:r>
        <w:rPr>
          <w:rFonts w:hint="eastAsia" w:ascii="仿宋" w:hAnsi="仿宋" w:eastAsia="仿宋" w:cs="仿宋"/>
          <w:color w:val="221E1F"/>
          <w:spacing w:val="0"/>
          <w:w w:val="100"/>
          <w:sz w:val="32"/>
          <w:szCs w:val="32"/>
          <w:u w:val="none"/>
          <w:lang w:val="en-US" w:eastAsia="zh-CN"/>
        </w:rPr>
        <w:t>。</w:t>
      </w:r>
    </w:p>
    <w:p w14:paraId="7B8AB895">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eastAsia="zh-CN"/>
        </w:rPr>
      </w:pPr>
      <w:r>
        <w:rPr>
          <w:rFonts w:hint="eastAsia" w:ascii="仿宋" w:hAnsi="仿宋" w:eastAsia="仿宋" w:cs="仿宋"/>
          <w:color w:val="221E1F"/>
          <w:spacing w:val="0"/>
          <w:w w:val="100"/>
          <w:sz w:val="32"/>
          <w:szCs w:val="32"/>
          <w:u w:val="none"/>
          <w:lang w:eastAsia="zh-CN"/>
        </w:rPr>
        <w:t>调查认定的事实：</w:t>
      </w:r>
    </w:p>
    <w:p w14:paraId="18D9DABC">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spacing w:val="0"/>
          <w:w w:val="100"/>
          <w:sz w:val="32"/>
          <w:szCs w:val="32"/>
        </w:rPr>
        <w:t>现</w:t>
      </w:r>
      <w:r>
        <w:rPr>
          <w:rFonts w:hint="eastAsia" w:ascii="仿宋" w:hAnsi="仿宋" w:eastAsia="仿宋" w:cs="仿宋"/>
          <w:spacing w:val="0"/>
          <w:w w:val="100"/>
          <w:sz w:val="32"/>
          <w:szCs w:val="32"/>
          <w:lang w:eastAsia="zh-CN"/>
        </w:rPr>
        <w:t>已</w:t>
      </w:r>
      <w:r>
        <w:rPr>
          <w:rFonts w:hint="eastAsia" w:ascii="仿宋" w:hAnsi="仿宋" w:eastAsia="仿宋" w:cs="仿宋"/>
          <w:spacing w:val="0"/>
          <w:w w:val="100"/>
          <w:sz w:val="32"/>
          <w:szCs w:val="32"/>
        </w:rPr>
        <w:t>查明</w:t>
      </w:r>
      <w:r>
        <w:rPr>
          <w:rFonts w:hint="eastAsia" w:ascii="仿宋" w:hAnsi="仿宋" w:eastAsia="仿宋" w:cs="仿宋"/>
          <w:spacing w:val="0"/>
          <w:w w:val="100"/>
          <w:sz w:val="32"/>
          <w:szCs w:val="32"/>
          <w:lang w:eastAsia="zh-CN"/>
        </w:rPr>
        <w:t>，</w:t>
      </w:r>
      <w:r>
        <w:rPr>
          <w:rFonts w:hint="eastAsia" w:ascii="仿宋" w:hAnsi="仿宋" w:eastAsia="仿宋" w:cs="仿宋"/>
          <w:color w:val="221E1F"/>
          <w:spacing w:val="0"/>
          <w:w w:val="100"/>
          <w:sz w:val="32"/>
          <w:szCs w:val="32"/>
          <w:u w:val="none"/>
          <w:lang w:val="en-US" w:eastAsia="zh-CN"/>
        </w:rPr>
        <w:t xml:space="preserve">当事人经营不合格的非食品接触塑料购物袋的违法事实存在。                </w:t>
      </w:r>
    </w:p>
    <w:p w14:paraId="47370944">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eastAsia="zh-CN"/>
        </w:rPr>
      </w:pPr>
      <w:r>
        <w:rPr>
          <w:rFonts w:hint="eastAsia" w:ascii="仿宋" w:hAnsi="仿宋" w:eastAsia="仿宋" w:cs="仿宋"/>
          <w:color w:val="221E1F"/>
          <w:spacing w:val="0"/>
          <w:w w:val="100"/>
          <w:sz w:val="32"/>
          <w:szCs w:val="32"/>
          <w:u w:val="none"/>
          <w:lang w:eastAsia="zh-CN"/>
        </w:rPr>
        <w:t>上述事实，主要有以下证据证明：</w:t>
      </w:r>
    </w:p>
    <w:p w14:paraId="3FF4E03D">
      <w:pPr>
        <w:keepNext w:val="0"/>
        <w:keepLines w:val="0"/>
        <w:pageBreakBefore w:val="0"/>
        <w:widowControl/>
        <w:numPr>
          <w:ilvl w:val="0"/>
          <w:numId w:val="3"/>
        </w:numPr>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bCs/>
          <w:spacing w:val="0"/>
          <w:w w:val="100"/>
          <w:sz w:val="32"/>
          <w:szCs w:val="32"/>
          <w:lang w:val="en-US" w:eastAsia="zh-CN"/>
        </w:rPr>
      </w:pPr>
      <w:r>
        <w:rPr>
          <w:rFonts w:hint="eastAsia" w:ascii="仿宋" w:hAnsi="仿宋" w:eastAsia="仿宋" w:cs="仿宋"/>
          <w:color w:val="221E1F"/>
          <w:spacing w:val="0"/>
          <w:w w:val="100"/>
          <w:sz w:val="32"/>
          <w:szCs w:val="32"/>
          <w:u w:val="none"/>
          <w:lang w:val="en-US" w:eastAsia="zh-CN"/>
        </w:rPr>
        <w:t>枣庄薛城区大迈众旺超市（个体工商户）的《营业执照》复印件1份，证明当事人</w:t>
      </w:r>
      <w:r>
        <w:rPr>
          <w:rFonts w:hint="eastAsia" w:ascii="仿宋" w:hAnsi="仿宋" w:eastAsia="仿宋" w:cs="仿宋"/>
          <w:bCs/>
          <w:spacing w:val="0"/>
          <w:w w:val="100"/>
          <w:sz w:val="32"/>
          <w:szCs w:val="32"/>
          <w:lang w:val="en-US" w:eastAsia="zh-CN"/>
        </w:rPr>
        <w:t>具有合法主体资格。</w:t>
      </w:r>
    </w:p>
    <w:p w14:paraId="4BACEAA4">
      <w:pPr>
        <w:keepNext w:val="0"/>
        <w:keepLines w:val="0"/>
        <w:pageBreakBefore w:val="0"/>
        <w:widowControl/>
        <w:numPr>
          <w:ilvl w:val="0"/>
          <w:numId w:val="3"/>
        </w:numPr>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bCs/>
          <w:spacing w:val="0"/>
          <w:w w:val="100"/>
          <w:sz w:val="32"/>
          <w:szCs w:val="32"/>
          <w:lang w:val="en-US" w:eastAsia="zh-CN"/>
        </w:rPr>
      </w:pPr>
      <w:r>
        <w:rPr>
          <w:rFonts w:hint="eastAsia" w:ascii="仿宋" w:hAnsi="仿宋" w:eastAsia="仿宋" w:cs="仿宋"/>
          <w:color w:val="221E1F"/>
          <w:spacing w:val="0"/>
          <w:w w:val="100"/>
          <w:sz w:val="32"/>
          <w:szCs w:val="32"/>
          <w:u w:val="none"/>
          <w:lang w:val="en-US" w:eastAsia="zh-CN"/>
        </w:rPr>
        <w:t>经营者张翔、受委托人张慧身份证复印件及授权委托书各1份，证明授权委托情况及被调查人身份信息。</w:t>
      </w:r>
    </w:p>
    <w:p w14:paraId="202B0870">
      <w:pPr>
        <w:keepNext w:val="0"/>
        <w:keepLines w:val="0"/>
        <w:pageBreakBefore w:val="0"/>
        <w:widowControl/>
        <w:numPr>
          <w:ilvl w:val="0"/>
          <w:numId w:val="0"/>
        </w:numPr>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3、山东三方联检检测技术有限公司出具的《检验报告》（报告编号SF/20260731004)及《产品质量监督抽查/复查抽样单》（抽样单编号;Z-51）复印件各</w:t>
      </w:r>
      <w:r>
        <w:rPr>
          <w:rFonts w:hint="eastAsia" w:ascii="仿宋" w:hAnsi="仿宋" w:eastAsia="仿宋" w:cs="仿宋"/>
          <w:color w:val="221E1F"/>
          <w:spacing w:val="0"/>
          <w:w w:val="100"/>
          <w:sz w:val="32"/>
          <w:szCs w:val="32"/>
          <w:u w:val="none"/>
          <w:lang w:eastAsia="zh-CN"/>
        </w:rPr>
        <w:t>1</w:t>
      </w:r>
      <w:r>
        <w:rPr>
          <w:rFonts w:hint="eastAsia" w:ascii="仿宋" w:hAnsi="仿宋" w:eastAsia="仿宋" w:cs="仿宋"/>
          <w:color w:val="221E1F"/>
          <w:spacing w:val="0"/>
          <w:w w:val="100"/>
          <w:sz w:val="32"/>
          <w:szCs w:val="32"/>
          <w:u w:val="none"/>
          <w:lang w:val="en-US" w:eastAsia="zh-CN"/>
        </w:rPr>
        <w:t xml:space="preserve">份，证明当事人经营的塑料购物袋抽样检验不合格的事实存在。 </w:t>
      </w:r>
    </w:p>
    <w:p w14:paraId="7D18E7EF">
      <w:pPr>
        <w:keepNext w:val="0"/>
        <w:keepLines w:val="0"/>
        <w:pageBreakBefore w:val="0"/>
        <w:widowControl/>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color w:val="221E1F"/>
          <w:spacing w:val="0"/>
          <w:w w:val="100"/>
          <w:sz w:val="32"/>
          <w:szCs w:val="32"/>
          <w:u w:val="none"/>
          <w:lang w:val="en-US" w:eastAsia="zh-CN"/>
        </w:rPr>
        <w:t>4、</w:t>
      </w:r>
      <w:r>
        <w:rPr>
          <w:rFonts w:hint="eastAsia" w:ascii="仿宋" w:hAnsi="仿宋" w:eastAsia="仿宋" w:cs="仿宋"/>
          <w:bCs/>
          <w:sz w:val="32"/>
          <w:szCs w:val="32"/>
          <w:lang w:val="en-US" w:eastAsia="zh-CN"/>
        </w:rPr>
        <w:t>《现场笔录》1份，证明检验报告送达情况和现场检查情况。</w:t>
      </w:r>
    </w:p>
    <w:p w14:paraId="722A9B4F">
      <w:pPr>
        <w:keepNext w:val="0"/>
        <w:keepLines w:val="0"/>
        <w:pageBreakBefore w:val="0"/>
        <w:widowControl/>
        <w:numPr>
          <w:ilvl w:val="0"/>
          <w:numId w:val="0"/>
        </w:numPr>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bCs/>
          <w:sz w:val="32"/>
          <w:szCs w:val="32"/>
          <w:lang w:val="en-US" w:eastAsia="zh-CN"/>
        </w:rPr>
        <w:t>5、</w:t>
      </w:r>
      <w:r>
        <w:rPr>
          <w:rFonts w:hint="eastAsia" w:ascii="仿宋" w:hAnsi="仿宋" w:eastAsia="仿宋" w:cs="仿宋"/>
          <w:color w:val="221E1F"/>
          <w:spacing w:val="0"/>
          <w:w w:val="100"/>
          <w:sz w:val="32"/>
          <w:szCs w:val="32"/>
          <w:u w:val="none"/>
          <w:lang w:val="en-US" w:eastAsia="zh-CN"/>
        </w:rPr>
        <w:t>《询问笔录》、涉案产品</w:t>
      </w:r>
      <w:r>
        <w:rPr>
          <w:rFonts w:hint="eastAsia" w:ascii="仿宋" w:hAnsi="仿宋" w:eastAsia="仿宋" w:cs="仿宋"/>
          <w:bCs/>
          <w:spacing w:val="0"/>
          <w:w w:val="100"/>
          <w:sz w:val="32"/>
          <w:szCs w:val="32"/>
          <w:u w:val="none" w:color="auto"/>
          <w:lang w:val="en-US" w:eastAsia="zh-CN"/>
        </w:rPr>
        <w:t>的收货单、供货商营业执照及王晓燕的身份证复印件；以及生产商莒县振兴塑料有限公司营业执照和全国工业产品生产许可证复印件</w:t>
      </w:r>
      <w:r>
        <w:rPr>
          <w:rFonts w:hint="eastAsia" w:ascii="仿宋" w:hAnsi="仿宋" w:eastAsia="仿宋" w:cs="仿宋"/>
          <w:color w:val="221E1F"/>
          <w:spacing w:val="0"/>
          <w:w w:val="100"/>
          <w:sz w:val="32"/>
          <w:szCs w:val="32"/>
          <w:u w:val="none"/>
          <w:lang w:val="en-US" w:eastAsia="zh-CN"/>
        </w:rPr>
        <w:t>各1份，证明当事人经营不合格塑料购物袋的违法事实存在，及涉案产品货值金额、违法所得，产品来源等相关情况。</w:t>
      </w:r>
    </w:p>
    <w:p w14:paraId="3E8C717C">
      <w:pPr>
        <w:keepNext w:val="0"/>
        <w:keepLines w:val="0"/>
        <w:pageBreakBefore w:val="0"/>
        <w:widowControl/>
        <w:numPr>
          <w:ilvl w:val="0"/>
          <w:numId w:val="0"/>
        </w:numPr>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6、《责令改正通知书》1份，证明责令当事人限期改正违法行为的情况。</w:t>
      </w:r>
    </w:p>
    <w:p w14:paraId="4F53F488">
      <w:pPr>
        <w:keepNext w:val="0"/>
        <w:keepLines w:val="0"/>
        <w:pageBreakBefore w:val="0"/>
        <w:widowControl/>
        <w:kinsoku/>
        <w:wordWrap/>
        <w:overflowPunct/>
        <w:topLinePunct w:val="0"/>
        <w:bidi w:val="0"/>
        <w:adjustRightInd/>
        <w:snapToGrid/>
        <w:spacing w:line="520" w:lineRule="exact"/>
        <w:ind w:right="0" w:rightChars="0"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我局执法人员于2026年10月12日向当事人送达了编号为薛市监罚告〔2026〕1189号《行政处罚告知》，由店长张慧签收，并告知当事人我局拟作出行政处罚的事实、理由、依据及处罚内容，当事人在规定时间内未提出陈述、申辩意见。</w:t>
      </w:r>
    </w:p>
    <w:p w14:paraId="26BE9284">
      <w:pPr>
        <w:keepNext w:val="0"/>
        <w:keepLines w:val="0"/>
        <w:pageBreakBefore w:val="0"/>
        <w:widowControl/>
        <w:kinsoku/>
        <w:wordWrap/>
        <w:overflowPunct/>
        <w:topLinePunct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本局认为，当事人经营不合格的非食品接触塑料购物袋的行为，违反了《中华人民共和国产品质量法》第三十九条的规定，构成销售不合格塑料购物袋的违法行为。</w:t>
      </w:r>
    </w:p>
    <w:p w14:paraId="3D06926A">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当事人经营不合格的非食品接触塑料购物袋货值160元，违法所得80元。鉴于涉案产品货值金额较小，当事人在案件调查过程中积极配合调查，如实陈述违法事实，并主动提供有关证据资料，符合市场监管总局《关于规范市场监督管理行政处罚裁量权的指导意见》第十四条第（二）项“有下列情形之一的，可以依法从轻或者减轻行政处罚：（二）积极配合市场监管部门调查并主动提供证据材料的”中关于从轻处罚的规定情形。</w:t>
      </w:r>
    </w:p>
    <w:p w14:paraId="6611F929">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 xml:space="preserve">且参照《山东省市场监督管理局行政处罚裁量基准》第八项产品质量监督管理“二、在产品中掺杂、掺假，以假充真，以次充好，或者以不合格产品冒充合格产品：（二）裁量标准1.没收违法生产、销售的产品，罚款，没收违法所得【较轻】货值金额一万元以下的，或者产品尚未销售的或已销售，追回全部的，没收违法生产、销售的产品，并处货值金额百分之五十以上一倍以下的罚款；有违法所得的，并处没收违法所得”之规定，对当事人按较轻标准予以处罚。 </w:t>
      </w:r>
    </w:p>
    <w:p w14:paraId="6D163902">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综上，当事人销售不合格的非食品接触塑料购物袋的行为，依据《中华人民共和国产品质量法》第五十条“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的规定，决定处罚如下：：</w:t>
      </w:r>
    </w:p>
    <w:p w14:paraId="7BB52087">
      <w:pPr>
        <w:keepNext w:val="0"/>
        <w:keepLines w:val="0"/>
        <w:pageBreakBefore w:val="0"/>
        <w:widowControl/>
        <w:numPr>
          <w:ilvl w:val="0"/>
          <w:numId w:val="4"/>
        </w:numPr>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没收违法所得捌拾元整（¥80.00）；</w:t>
      </w:r>
    </w:p>
    <w:p w14:paraId="5F16D944">
      <w:pPr>
        <w:keepNext w:val="0"/>
        <w:keepLines w:val="0"/>
        <w:pageBreakBefore w:val="0"/>
        <w:widowControl/>
        <w:numPr>
          <w:ilvl w:val="0"/>
          <w:numId w:val="4"/>
        </w:numPr>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罚款人民币壹佰元整（¥100.00）；</w:t>
      </w:r>
    </w:p>
    <w:p w14:paraId="6EAEACB2">
      <w:pPr>
        <w:keepNext w:val="0"/>
        <w:keepLines w:val="0"/>
        <w:pageBreakBefore w:val="0"/>
        <w:widowControl/>
        <w:kinsoku/>
        <w:wordWrap/>
        <w:overflowPunct/>
        <w:topLinePunct w:val="0"/>
        <w:autoSpaceDE w:val="0"/>
        <w:autoSpaceDN w:val="0"/>
        <w:bidi w:val="0"/>
        <w:adjustRightInd/>
        <w:snapToGrid/>
        <w:spacing w:line="420" w:lineRule="exact"/>
        <w:ind w:firstLine="640" w:firstLineChars="200"/>
        <w:jc w:val="left"/>
        <w:textAlignment w:val="auto"/>
        <w:rPr>
          <w:rFonts w:hint="eastAsia" w:ascii="仿宋" w:hAnsi="仿宋" w:eastAsia="仿宋" w:cs="仿宋"/>
          <w:color w:val="221E1F"/>
          <w:spacing w:val="0"/>
          <w:w w:val="100"/>
          <w:sz w:val="32"/>
          <w:szCs w:val="32"/>
          <w:u w:val="none"/>
          <w:lang w:val="en-US" w:eastAsia="zh-CN"/>
        </w:rPr>
      </w:pPr>
      <w:r>
        <w:rPr>
          <w:rFonts w:hint="eastAsia" w:ascii="仿宋" w:hAnsi="仿宋" w:eastAsia="仿宋" w:cs="仿宋"/>
          <w:color w:val="221E1F"/>
          <w:spacing w:val="0"/>
          <w:w w:val="100"/>
          <w:sz w:val="32"/>
          <w:szCs w:val="32"/>
          <w:u w:val="none"/>
          <w:lang w:val="en-US" w:eastAsia="zh-CN"/>
        </w:rPr>
        <w:t>罚没合计人民币壹佰捌拾元整（¥180.00）。</w:t>
      </w:r>
    </w:p>
    <w:p w14:paraId="38F800F5">
      <w:pPr>
        <w:keepNext w:val="0"/>
        <w:keepLines w:val="0"/>
        <w:pageBreakBefore w:val="0"/>
        <w:widowControl w:val="0"/>
        <w:kinsoku/>
        <w:wordWrap/>
        <w:overflowPunct/>
        <w:topLinePunct w:val="0"/>
        <w:autoSpaceDE/>
        <w:autoSpaceDN/>
        <w:bidi w:val="0"/>
        <w:adjustRightInd/>
        <w:snapToGrid w:val="0"/>
        <w:spacing w:line="520" w:lineRule="exact"/>
        <w:ind w:right="0" w:rightChars="0" w:firstLine="640" w:firstLineChars="200"/>
        <w:jc w:val="left"/>
        <w:textAlignment w:val="auto"/>
        <w:rPr>
          <w:rFonts w:hint="eastAsia" w:ascii="仿宋" w:hAnsi="仿宋" w:eastAsia="仿宋" w:cs="仿宋"/>
          <w:color w:val="000000"/>
          <w:spacing w:val="0"/>
          <w:w w:val="100"/>
          <w:sz w:val="32"/>
          <w:szCs w:val="32"/>
          <w:u w:val="none"/>
          <w:lang w:val="en-US" w:eastAsia="zh-CN"/>
        </w:rPr>
      </w:pPr>
      <w:r>
        <w:rPr>
          <w:rFonts w:hint="eastAsia" w:ascii="仿宋" w:hAnsi="仿宋" w:eastAsia="仿宋" w:cs="仿宋"/>
          <w:color w:val="000000"/>
          <w:spacing w:val="0"/>
          <w:w w:val="100"/>
          <w:sz w:val="32"/>
          <w:szCs w:val="32"/>
          <w:u w:val="none" w:color="auto"/>
          <w:lang w:val="en-US" w:eastAsia="zh-CN"/>
        </w:rPr>
        <w:t>依据《中华人民共和国行政处罚法》第六十七条第三款规定，请在接到本处罚决定书之日起十五日内携缴款码到（工、农、中、建）任一银行网点或者网上银行缴纳罚款，也可微信关注山东财政公众号，点击微服务</w:t>
      </w:r>
      <w:r>
        <w:rPr>
          <w:rFonts w:hint="eastAsia" w:ascii="仿宋" w:hAnsi="仿宋" w:eastAsia="仿宋" w:cs="仿宋"/>
          <w:color w:val="000000"/>
          <w:spacing w:val="0"/>
          <w:w w:val="100"/>
          <w:sz w:val="32"/>
          <w:szCs w:val="32"/>
          <w:u w:val="none"/>
          <w:lang w:val="en-US" w:eastAsia="zh-CN"/>
        </w:rPr>
        <w:t>--非税缴费，缴纳罚款。</w:t>
      </w:r>
    </w:p>
    <w:p w14:paraId="065E636E">
      <w:pPr>
        <w:keepNext w:val="0"/>
        <w:keepLines w:val="0"/>
        <w:pageBreakBefore w:val="0"/>
        <w:widowControl w:val="0"/>
        <w:kinsoku/>
        <w:wordWrap/>
        <w:overflowPunct/>
        <w:topLinePunct w:val="0"/>
        <w:autoSpaceDE/>
        <w:autoSpaceDN/>
        <w:bidi w:val="0"/>
        <w:adjustRightInd/>
        <w:snapToGrid w:val="0"/>
        <w:spacing w:line="520" w:lineRule="exact"/>
        <w:ind w:right="0" w:rightChars="0" w:firstLine="640" w:firstLineChars="200"/>
        <w:jc w:val="left"/>
        <w:textAlignment w:val="auto"/>
        <w:rPr>
          <w:rFonts w:hint="eastAsia" w:ascii="仿宋" w:hAnsi="仿宋" w:eastAsia="仿宋" w:cs="仿宋"/>
          <w:color w:val="000000"/>
          <w:spacing w:val="0"/>
          <w:w w:val="100"/>
          <w:sz w:val="32"/>
          <w:szCs w:val="32"/>
          <w:u w:val="none"/>
          <w:lang w:val="en-US" w:eastAsia="zh-CN"/>
        </w:rPr>
      </w:pPr>
      <w:r>
        <w:rPr>
          <w:rFonts w:hint="eastAsia" w:ascii="仿宋" w:hAnsi="仿宋" w:eastAsia="仿宋" w:cs="仿宋"/>
          <w:color w:val="000000"/>
          <w:spacing w:val="0"/>
          <w:w w:val="100"/>
          <w:sz w:val="32"/>
          <w:szCs w:val="32"/>
          <w:u w:val="none"/>
          <w:lang w:val="en-US" w:eastAsia="zh-CN"/>
        </w:rPr>
        <w:t>到期不缴纳罚没款的，依据《中华人民共和国行政处罚法》第七十二条的规定，本局将每日按罚款数额的百分之三加处罚款，并依法申请人民法院强制执行。</w:t>
      </w:r>
    </w:p>
    <w:p w14:paraId="0E4E6DD9">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eastAsia" w:ascii="仿宋" w:hAnsi="仿宋" w:eastAsia="仿宋" w:cs="仿宋"/>
          <w:b w:val="0"/>
          <w:bCs/>
          <w:color w:val="auto"/>
          <w:kern w:val="2"/>
          <w:sz w:val="32"/>
          <w:szCs w:val="32"/>
          <w:u w:val="single"/>
          <w:lang w:val="en-US" w:eastAsia="zh-CN" w:bidi="ar-SA"/>
        </w:rPr>
      </w:pPr>
      <w:r>
        <w:rPr>
          <w:rFonts w:hint="eastAsia" w:ascii="仿宋" w:hAnsi="仿宋" w:eastAsia="仿宋" w:cs="仿宋"/>
          <w:b w:val="0"/>
          <w:bCs/>
          <w:color w:val="auto"/>
          <w:sz w:val="32"/>
          <w:szCs w:val="32"/>
          <w:u w:val="none"/>
          <w:lang w:val="en-US" w:eastAsia="zh-CN"/>
        </w:rPr>
        <w:t>如不服本处罚决定，可在接到本处罚决定书之日起六十日内向薛城区人民政府申请行政复议，也可以于六个月内依法向薛城区人民法院等有管辖权的法院，提起行政诉讼。申请行政复议或者提起行政诉讼期间，行政处罚不停止执行。</w:t>
      </w:r>
      <w:r>
        <w:rPr>
          <w:rFonts w:hint="eastAsia" w:ascii="仿宋" w:hAnsi="仿宋" w:eastAsia="仿宋" w:cs="仿宋"/>
          <w:b w:val="0"/>
          <w:bCs/>
          <w:color w:val="auto"/>
          <w:kern w:val="2"/>
          <w:sz w:val="32"/>
          <w:szCs w:val="32"/>
          <w:u w:val="single"/>
          <w:lang w:val="en-US" w:eastAsia="zh-CN" w:bidi="ar-SA"/>
        </w:rPr>
        <w:t>(网上提交行政复议申请网址:https://12348.shandong.gov.cn/fysq)。</w:t>
      </w:r>
    </w:p>
    <w:p w14:paraId="36EEC282">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eastAsia" w:ascii="仿宋" w:hAnsi="仿宋" w:eastAsia="仿宋" w:cs="仿宋"/>
          <w:b w:val="0"/>
          <w:bCs/>
          <w:color w:val="auto"/>
          <w:sz w:val="32"/>
          <w:szCs w:val="32"/>
          <w:u w:val="single"/>
          <w:lang w:val="en-US" w:eastAsia="zh-CN"/>
        </w:rPr>
      </w:pPr>
    </w:p>
    <w:p w14:paraId="177A686F">
      <w:pPr>
        <w:widowControl/>
        <w:snapToGrid w:val="0"/>
        <w:spacing w:line="520" w:lineRule="exact"/>
        <w:jc w:val="left"/>
        <w:rPr>
          <w:rFonts w:hint="eastAsia" w:ascii="仿宋" w:hAnsi="仿宋" w:eastAsia="仿宋" w:cs="仿宋"/>
          <w:color w:val="auto"/>
          <w:sz w:val="32"/>
          <w:szCs w:val="32"/>
        </w:rPr>
      </w:pPr>
    </w:p>
    <w:p w14:paraId="7C616828">
      <w:pPr>
        <w:widowControl/>
        <w:snapToGrid w:val="0"/>
        <w:spacing w:line="520" w:lineRule="exact"/>
        <w:ind w:firstLine="6240" w:firstLineChars="1950"/>
        <w:jc w:val="left"/>
        <w:rPr>
          <w:rFonts w:hint="eastAsia" w:ascii="仿宋" w:hAnsi="仿宋" w:eastAsia="仿宋" w:cs="仿宋"/>
          <w:color w:val="auto"/>
          <w:sz w:val="32"/>
          <w:szCs w:val="32"/>
          <w:lang w:val="en-US" w:eastAsia="zh-Hans"/>
        </w:rPr>
      </w:pPr>
    </w:p>
    <w:p w14:paraId="05620C3B">
      <w:pPr>
        <w:spacing w:line="560" w:lineRule="exact"/>
        <w:ind w:right="640" w:firstLine="601"/>
        <w:jc w:val="right"/>
        <w:rPr>
          <w:rFonts w:hint="eastAsia" w:ascii="仿宋" w:hAnsi="仿宋" w:eastAsia="仿宋" w:cs="仿宋"/>
          <w:color w:val="auto"/>
          <w:sz w:val="32"/>
          <w:szCs w:val="32"/>
        </w:rPr>
      </w:pPr>
      <w:bookmarkStart w:id="7" w:name="DYNAMIC—DWXX—tAj_dwmc—2"/>
      <w:r>
        <w:rPr>
          <w:rFonts w:hint="eastAsia" w:ascii="仿宋" w:hAnsi="仿宋" w:eastAsia="仿宋" w:cs="仿宋"/>
          <w:color w:val="auto"/>
          <w:sz w:val="32"/>
          <w:szCs w:val="32"/>
          <w:lang w:val="en-US" w:eastAsia="zh-CN"/>
        </w:rPr>
        <w:t>枣庄市</w:t>
      </w:r>
      <w:r>
        <w:rPr>
          <w:rFonts w:hint="eastAsia" w:ascii="仿宋" w:hAnsi="仿宋" w:eastAsia="仿宋" w:cs="仿宋"/>
          <w:color w:val="auto"/>
          <w:sz w:val="32"/>
          <w:szCs w:val="32"/>
        </w:rPr>
        <w:t>薛城区市场监督管理局</w:t>
      </w:r>
      <w:bookmarkEnd w:id="7"/>
      <w:r>
        <w:rPr>
          <w:rFonts w:hint="eastAsia" w:ascii="仿宋" w:hAnsi="仿宋" w:eastAsia="仿宋" w:cs="仿宋"/>
          <w:color w:val="auto"/>
          <w:sz w:val="32"/>
          <w:szCs w:val="32"/>
        </w:rPr>
        <w:t xml:space="preserve">    </w:t>
      </w:r>
    </w:p>
    <w:p w14:paraId="5C9C65F5">
      <w:pPr>
        <w:spacing w:line="560" w:lineRule="exact"/>
        <w:ind w:right="640" w:firstLine="601"/>
        <w:jc w:val="right"/>
        <w:outlineLvl w:val="1"/>
        <w:rPr>
          <w:rFonts w:hint="eastAsia" w:ascii="仿宋" w:hAnsi="仿宋" w:eastAsia="仿宋" w:cs="仿宋"/>
          <w:color w:val="auto"/>
          <w:sz w:val="32"/>
          <w:szCs w:val="32"/>
        </w:rPr>
      </w:pPr>
    </w:p>
    <w:p w14:paraId="143ACE90">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center"/>
        <w:textAlignment w:val="auto"/>
        <w:outlineLvl w:val="9"/>
        <w:rPr>
          <w:rFonts w:hint="eastAsia" w:ascii="仿宋" w:hAnsi="仿宋" w:eastAsia="仿宋" w:cs="仿宋"/>
          <w:color w:val="auto"/>
          <w:sz w:val="32"/>
          <w:szCs w:val="32"/>
        </w:rPr>
      </w:pPr>
      <w:bookmarkStart w:id="8" w:name="CALCULATE—TIME—NOW"/>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2026年10月20日</w:t>
      </w:r>
      <w:bookmarkEnd w:id="8"/>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 xml:space="preserve">  </w:t>
      </w:r>
    </w:p>
    <w:p w14:paraId="54C4151C">
      <w:pPr>
        <w:widowControl/>
        <w:snapToGrid w:val="0"/>
        <w:spacing w:line="520" w:lineRule="exact"/>
        <w:jc w:val="right"/>
        <w:rPr>
          <w:rFonts w:hint="eastAsia" w:ascii="仿宋" w:hAnsi="仿宋" w:eastAsia="仿宋" w:cs="仿宋"/>
          <w:color w:val="auto"/>
          <w:sz w:val="32"/>
          <w:szCs w:val="32"/>
        </w:rPr>
      </w:pPr>
    </w:p>
    <w:p w14:paraId="5A47480E">
      <w:pPr>
        <w:pStyle w:val="3"/>
        <w:spacing w:before="1"/>
        <w:ind w:left="163"/>
        <w:rPr>
          <w:rFonts w:hint="eastAsia" w:ascii="仿宋" w:hAnsi="仿宋" w:eastAsia="仿宋" w:cs="仿宋"/>
          <w:bCs/>
          <w:color w:val="auto"/>
          <w:sz w:val="32"/>
          <w:szCs w:val="32"/>
        </w:rPr>
      </w:pPr>
      <w:r>
        <w:rPr>
          <w:rFonts w:hint="eastAsia" w:ascii="仿宋" w:hAnsi="仿宋" w:eastAsia="仿宋" w:cs="仿宋"/>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仿宋" w:hAnsi="仿宋" w:eastAsia="仿宋" w:cs="仿宋"/>
          <w:color w:val="auto"/>
          <w:spacing w:val="-16"/>
          <w:sz w:val="32"/>
          <w:szCs w:val="32"/>
        </w:rPr>
        <w:t>（市场监督管理部门将依法向社会公开行政处罚决定信息）</w:t>
      </w:r>
    </w:p>
    <w:p w14:paraId="77C8BB8F">
      <w:pPr>
        <w:spacing w:line="500" w:lineRule="exact"/>
        <w:jc w:val="center"/>
        <w:rPr>
          <w:rFonts w:hint="eastAsia" w:ascii="仿宋" w:hAnsi="仿宋" w:eastAsia="仿宋" w:cs="仿宋"/>
          <w:color w:val="auto"/>
          <w:sz w:val="32"/>
          <w:szCs w:val="32"/>
        </w:rPr>
      </w:pPr>
      <w:r>
        <w:rPr>
          <w:rFonts w:hint="eastAsia" w:ascii="仿宋" w:hAnsi="仿宋" w:eastAsia="仿宋" w:cs="仿宋"/>
          <w:bCs/>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仿宋" w:hAnsi="仿宋" w:eastAsia="仿宋" w:cs="仿宋"/>
          <w:color w:val="000000"/>
          <w:spacing w:val="0"/>
          <w:w w:val="100"/>
          <w:sz w:val="32"/>
          <w:szCs w:val="32"/>
        </w:rPr>
        <w:t>本文书一式三份，一份送达，一份归档，一份承办机构留存</w:t>
      </w:r>
      <w:r>
        <w:rPr>
          <w:rFonts w:hint="eastAsia" w:ascii="仿宋" w:hAnsi="仿宋" w:eastAsia="仿宋" w:cs="仿宋"/>
          <w:color w:val="auto"/>
          <w:sz w:val="32"/>
          <w:szCs w:val="32"/>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88"/>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C059"/>
    <w:panose1 w:val="000004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Arial Unicode MS">
    <w:altName w:val="DejaVu Sans"/>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Mongolian Baiti">
    <w:altName w:val="C059"/>
    <w:panose1 w:val="03000500000000000000"/>
    <w:charset w:val="00"/>
    <w:family w:val="script"/>
    <w:pitch w:val="default"/>
    <w:sig w:usb0="00000000" w:usb1="00000000" w:usb2="00020000" w:usb3="00000000" w:csb0="0000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D28F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F8B091">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F8B091">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27A81"/>
    <w:multiLevelType w:val="singleLevel"/>
    <w:tmpl w:val="ABF27A81"/>
    <w:lvl w:ilvl="0" w:tentative="0">
      <w:start w:val="1"/>
      <w:numFmt w:val="decimal"/>
      <w:suff w:val="nothing"/>
      <w:lvlText w:val="%1、"/>
      <w:lvlJc w:val="left"/>
    </w:lvl>
  </w:abstractNum>
  <w:abstractNum w:abstractNumId="1">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3">
    <w:nsid w:val="0417831A"/>
    <w:multiLevelType w:val="singleLevel"/>
    <w:tmpl w:val="0417831A"/>
    <w:lvl w:ilvl="0" w:tentative="0">
      <w:start w:val="1"/>
      <w:numFmt w:val="decimal"/>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ad3abea3-8ba7-47a2-bc3f-332894d4261f"/>
  </w:docVars>
  <w:rsids>
    <w:rsidRoot w:val="5BA419F7"/>
    <w:rsid w:val="00193C35"/>
    <w:rsid w:val="0032134F"/>
    <w:rsid w:val="02B83402"/>
    <w:rsid w:val="04CD463F"/>
    <w:rsid w:val="04FA4431"/>
    <w:rsid w:val="060F768F"/>
    <w:rsid w:val="06BAE61F"/>
    <w:rsid w:val="071C7669"/>
    <w:rsid w:val="0776795A"/>
    <w:rsid w:val="08365B64"/>
    <w:rsid w:val="0B22091D"/>
    <w:rsid w:val="0CF71776"/>
    <w:rsid w:val="103E22C5"/>
    <w:rsid w:val="1350279A"/>
    <w:rsid w:val="14203063"/>
    <w:rsid w:val="143E1E38"/>
    <w:rsid w:val="152E563E"/>
    <w:rsid w:val="15B93156"/>
    <w:rsid w:val="18325353"/>
    <w:rsid w:val="18B229B2"/>
    <w:rsid w:val="19F459F1"/>
    <w:rsid w:val="19FE4517"/>
    <w:rsid w:val="1AE345F4"/>
    <w:rsid w:val="1C9C2B08"/>
    <w:rsid w:val="1D73229A"/>
    <w:rsid w:val="1DA4420A"/>
    <w:rsid w:val="1F2B5D07"/>
    <w:rsid w:val="1FD31F15"/>
    <w:rsid w:val="2297355D"/>
    <w:rsid w:val="236534A4"/>
    <w:rsid w:val="23A978BE"/>
    <w:rsid w:val="244E1F2B"/>
    <w:rsid w:val="24626694"/>
    <w:rsid w:val="258D6CE0"/>
    <w:rsid w:val="27683133"/>
    <w:rsid w:val="2B1B3EFC"/>
    <w:rsid w:val="2CEA3815"/>
    <w:rsid w:val="2DE10173"/>
    <w:rsid w:val="2F327E79"/>
    <w:rsid w:val="2F7CE1EF"/>
    <w:rsid w:val="30DB5683"/>
    <w:rsid w:val="311D5D13"/>
    <w:rsid w:val="342602B0"/>
    <w:rsid w:val="3585615B"/>
    <w:rsid w:val="368E5656"/>
    <w:rsid w:val="36AF255F"/>
    <w:rsid w:val="377FBB27"/>
    <w:rsid w:val="37F16547"/>
    <w:rsid w:val="38B63DA7"/>
    <w:rsid w:val="3930619F"/>
    <w:rsid w:val="3A4E178D"/>
    <w:rsid w:val="3BF97ECA"/>
    <w:rsid w:val="3C2965F0"/>
    <w:rsid w:val="3F2604DF"/>
    <w:rsid w:val="3F310B59"/>
    <w:rsid w:val="3F6783E4"/>
    <w:rsid w:val="3FFF82D4"/>
    <w:rsid w:val="402E7C06"/>
    <w:rsid w:val="40FE5F8F"/>
    <w:rsid w:val="425049CE"/>
    <w:rsid w:val="42B664EA"/>
    <w:rsid w:val="4659781C"/>
    <w:rsid w:val="48C10000"/>
    <w:rsid w:val="4A256B30"/>
    <w:rsid w:val="4B1C7DB8"/>
    <w:rsid w:val="4B8F0B22"/>
    <w:rsid w:val="4BD32FF0"/>
    <w:rsid w:val="4C02380F"/>
    <w:rsid w:val="4CC8271B"/>
    <w:rsid w:val="4D9306AE"/>
    <w:rsid w:val="4E8950D9"/>
    <w:rsid w:val="4F0457DF"/>
    <w:rsid w:val="52C80057"/>
    <w:rsid w:val="547C0750"/>
    <w:rsid w:val="56340991"/>
    <w:rsid w:val="57503162"/>
    <w:rsid w:val="591F0542"/>
    <w:rsid w:val="5BA419F7"/>
    <w:rsid w:val="5BF91583"/>
    <w:rsid w:val="5BFB2E57"/>
    <w:rsid w:val="5DD7483B"/>
    <w:rsid w:val="5E5FAB03"/>
    <w:rsid w:val="5F9FEDD5"/>
    <w:rsid w:val="5FBEF003"/>
    <w:rsid w:val="5FE33914"/>
    <w:rsid w:val="5FFA4D85"/>
    <w:rsid w:val="602422E6"/>
    <w:rsid w:val="60B635F2"/>
    <w:rsid w:val="612E7E8C"/>
    <w:rsid w:val="64E43803"/>
    <w:rsid w:val="66733921"/>
    <w:rsid w:val="67475122"/>
    <w:rsid w:val="682A5F67"/>
    <w:rsid w:val="69690BB2"/>
    <w:rsid w:val="6A5D38D1"/>
    <w:rsid w:val="6AD7030F"/>
    <w:rsid w:val="6BCC1BB9"/>
    <w:rsid w:val="6D923254"/>
    <w:rsid w:val="6E04767D"/>
    <w:rsid w:val="6E6950E9"/>
    <w:rsid w:val="6F732ABB"/>
    <w:rsid w:val="6FF58B64"/>
    <w:rsid w:val="6FF8F863"/>
    <w:rsid w:val="70784BE6"/>
    <w:rsid w:val="70CF02CA"/>
    <w:rsid w:val="71013020"/>
    <w:rsid w:val="710D7C3E"/>
    <w:rsid w:val="7376089F"/>
    <w:rsid w:val="75B22168"/>
    <w:rsid w:val="75B2DA43"/>
    <w:rsid w:val="75BD90DB"/>
    <w:rsid w:val="77DF8BD4"/>
    <w:rsid w:val="77EFD5CC"/>
    <w:rsid w:val="77FFADAC"/>
    <w:rsid w:val="78A51694"/>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EF7F7433"/>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597</Words>
  <Characters>682</Characters>
  <Lines>0</Lines>
  <Paragraphs>0</Paragraphs>
  <TotalTime>0</TotalTime>
  <ScaleCrop>false</ScaleCrop>
  <LinksUpToDate>false</LinksUpToDate>
  <CharactersWithSpaces>1932</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2021-08-02T18:04:00Z</dcterms:created>
  <dc:creator>胖林宝宝噜啦噜～</dc:creator>
  <cp:lastModifiedBy>01sj</cp:lastModifiedBy>
  <cp:lastPrinted>2026-10-20T15:16:00Z</cp:lastPrinted>
  <dcterms:modified xsi:type="dcterms:W3CDTF">2026-10-20T15:39:48Z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2F2DFE573D60464A8CD03539A28860D8_13</vt:lpwstr>
  </property>
  <property fmtid="{D5CDD505-2E9C-101B-9397-08002B2CF9AE}" pid="4" name="KSOTemplateDocerSaveRecord">
    <vt:lpwstr>eyJoZGlkIjoiMTY3MmVlMjA2MWM0ZGU2MDEyNjkwNzM5YzM3YjlmZDAiLCJ1c2VySWQiOiIyODQ4MDE1MTAifQ==</vt:lpwstr>
  </property>
</Properties>
</file>