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7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eastAsia="方正小标宋简体" w:cs="Times New Roman"/>
          <w:color w:val="000000"/>
          <w:sz w:val="44"/>
          <w:szCs w:val="44"/>
          <w:u w:val="none"/>
          <w:lang w:val="en-US" w:eastAsia="zh-CN"/>
        </w:rPr>
        <w:t>2023年区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《政府工作报告》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落实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情况一览表</w:t>
      </w:r>
    </w:p>
    <w:p>
      <w:pPr>
        <w:spacing w:line="320" w:lineRule="exact"/>
        <w:ind w:firstLine="868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spacing w:line="600" w:lineRule="exact"/>
        <w:ind w:firstLine="320" w:firstLineChars="1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填报单位（公章）：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商务和投资促进局</w:t>
      </w:r>
    </w:p>
    <w:tbl>
      <w:tblPr>
        <w:tblStyle w:val="3"/>
        <w:tblW w:w="1189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4102"/>
        <w:gridCol w:w="1500"/>
        <w:gridCol w:w="54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bookmarkStart w:id="0" w:name="_GoBack" w:colFirst="0" w:colLast="3"/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年度任务目标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z w:val="28"/>
                <w:szCs w:val="28"/>
                <w:lang w:val="en-US" w:eastAsia="zh-CN"/>
              </w:rPr>
              <w:t>责任单位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sz w:val="28"/>
                <w:szCs w:val="28"/>
                <w:lang w:val="en-US" w:eastAsia="zh-CN"/>
              </w:rPr>
              <w:t>年度任务落实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4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社会消费品零售总额保持平稳增长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区商促局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2023年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，我区实现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社会消费品零售总额132.57亿元，增幅9.0 %。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410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建成百思利动力电池精密结构件、熵路智慧储能、创能富锂锰基正极材料。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区商促局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督促百思利加快装修进度，设备尽快到位；熵路智慧储能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lang w:val="en-US" w:eastAsia="zh-CN"/>
              </w:rPr>
              <w:t>已完成设备安装，正在设备调试阶段，预计本月底试生产。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创能富锂锰基正极材料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lang w:val="en-US" w:eastAsia="zh-CN"/>
              </w:rPr>
              <w:t>已于2023年7月16日试生产，产品小样已通过多家企业测试，已与星恒电源股份公司签订供货协议，并完成1吨多供货。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410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积极推进中科智谷科创园、施密特电梯制造项目，引领装备制造迈向高端化、智能化。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区商促局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加快中科智谷科创园项目土地手续审批、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土地征收；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Hans"/>
              </w:rPr>
              <w:t>施密特电梯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项目用地继续选址经济开发区新增项目用地。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410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启动枣庄港泊位改造提升、长河港业铁路专用线建设，健全公铁水协同联运体系，扎实开展临港产业招商，塑造“以港兴产、以产强港”发展格局。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区商促局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sz w:val="22"/>
                <w:szCs w:val="22"/>
              </w:rPr>
              <w:t>目前，投资5.6亿元的京东物流“公铁水”多式联运项目已签约，选址于薛城区枣庄内陆港区域，占地107亩，总建筑面积7.2万平方米。计划打造成为全国物流服务新高地、及联通全球的综合物流枢纽。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410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依托双子星城市广场、德鑫广场等楼宇资源，成立招商专班，完善招引政策，大力引进信息服务、研发设计、金融保险、法律会计等新兴服务业态，催生一批纳税过千万元楼宇。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区商促局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sz w:val="22"/>
                <w:szCs w:val="22"/>
                <w:lang w:val="en-US" w:eastAsia="zh-CN"/>
              </w:rPr>
              <w:t>目前，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sz w:val="22"/>
                <w:szCs w:val="22"/>
              </w:rPr>
              <w:t>全区累计摸排闲置楼宇23处、53.17万平方米，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sz w:val="22"/>
                <w:szCs w:val="22"/>
                <w:lang w:val="en-US" w:eastAsia="zh-CN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sz w:val="22"/>
                <w:szCs w:val="22"/>
              </w:rPr>
              <w:t>累计盘活10.159万平方米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sz w:val="22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4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引导万达广场、天穹新视界聚集高端业态，发展首店经济、夜间经济，打造一批核心商圈、特色街区，提升城市商业品质。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区商促局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依托万达广场、银座商城、恒太城引进了星巴克、优衣库、千江月、哈吉客、欧珀莱等品牌名店、首店。持续推进商业设施配套完善、提档升级。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29</w:t>
            </w:r>
          </w:p>
        </w:tc>
        <w:tc>
          <w:tcPr>
            <w:tcW w:w="4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加大“准四上”企业帮扶力度，动态调整培育库、种子库，落实财政奖补政策，确保年内新增“四上”企业85家以上。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区商促局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2023年，我区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新增批零住餐企业112家，净增89家。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41</w:t>
            </w:r>
          </w:p>
        </w:tc>
        <w:tc>
          <w:tcPr>
            <w:tcW w:w="4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加快建设便民服务中心，完善大型居住区周边便民业态、公共交通等配套功能，打造15分钟城市便民服务圈，让城市更加美丽宜居。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区商促局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2023年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已申报临城街道八一社区便民生活圈、新城街道嘉豪社区便民生活圈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62</w:t>
            </w:r>
          </w:p>
        </w:tc>
        <w:tc>
          <w:tcPr>
            <w:tcW w:w="410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2" w:line="280" w:lineRule="exact"/>
              <w:ind w:right="22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压实“链长制”责任，勾画产业链“全景图”“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7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现状图”“招商图”。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区商促局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sz w:val="22"/>
                <w:szCs w:val="22"/>
                <w:lang w:val="en-US" w:eastAsia="zh-CN"/>
              </w:rPr>
              <w:t>聚焦全市“6+3”产业体系，出台《招商引资提升“十大行动”实施意见》，细化梳理新能源（锂电）、高端化工、高端装备等12条产业链，构建区级领导牵头，部门镇街国企联动的招商工作体系。联合区重大项目推进中心，建立通报机制，2023年已印发工作通报14期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4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瞄准国内外500强、央企和行业头部企业，深入开展驻点招商、基金招商、委托招商，力争全年签约落地过亿元项目60个以上、过50亿元项目5个以上、过100亿元项目2个以上。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区商促局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sz w:val="22"/>
                <w:szCs w:val="22"/>
              </w:rPr>
              <w:t>2023年1—11月份，市认定我区新签约亿元以上项目80个，总投资额490.58亿元。其中，过10亿元项目24个，总投资额374.16亿元；过50亿元项目1个，总投资额50亿元。市认定我区新开工亿元以上项目56个，总投资额418.21亿元。其中，过10亿元项目12个，总投资额340.9亿元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sz w:val="22"/>
                <w:szCs w:val="22"/>
              </w:rPr>
              <w:t>过50亿元项目3个，总投资额212.2亿元；百亿元以上项目1个，总投资额112亿元。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64</w:t>
            </w:r>
          </w:p>
        </w:tc>
        <w:tc>
          <w:tcPr>
            <w:tcW w:w="4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依托龙工场、阿里巴巴跨境电商产业园，推动电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78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商企业转型发展跨境电商。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区商促局</w:t>
            </w:r>
          </w:p>
        </w:tc>
        <w:tc>
          <w:tcPr>
            <w:tcW w:w="546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配合大龙网做好外贸企业调研活动，依托大龙网开展拉美专场网贸会，并举办全区跨境电商培训班，新引进外贸企业21家。同时，引导企业积极参加省市级各类跨境电商培训会，大力发展外贸新业态。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4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组织企业参加日韩进口博览会等大型展会，深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耕“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10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一带一路”、RCEP 国家市场，新增实绩出口企业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10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家。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区商促局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及时发布日韩进口博览会、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“一带一路”沿线国家、RCEP国家展会及相关国家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市场拓展线上培训会，2023年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新增实绩出口企业30家。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66</w:t>
            </w:r>
          </w:p>
        </w:tc>
        <w:tc>
          <w:tcPr>
            <w:tcW w:w="4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推动杰富意等外资企业增资扩股，引导内资企业通过参股并购等方式吸引外资，年内实际使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用外资800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万美元以上。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区商促局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2023年</w:t>
            </w: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  <w:t>预计实际使用外资6721万美元。</w:t>
            </w:r>
          </w:p>
        </w:tc>
      </w:tr>
      <w:bookmarkEnd w:id="0"/>
    </w:tbl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M2M5NzQ4NTI0NTRjODcyYjU2ODllNTM0NzVkNzIifQ=="/>
  </w:docVars>
  <w:rsids>
    <w:rsidRoot w:val="00000000"/>
    <w:rsid w:val="01B97F5E"/>
    <w:rsid w:val="059C5D6E"/>
    <w:rsid w:val="0F75060E"/>
    <w:rsid w:val="0FC25AA9"/>
    <w:rsid w:val="1125497F"/>
    <w:rsid w:val="11496C09"/>
    <w:rsid w:val="16FA15AA"/>
    <w:rsid w:val="1DF6181D"/>
    <w:rsid w:val="1F54121C"/>
    <w:rsid w:val="25410401"/>
    <w:rsid w:val="28DC0F94"/>
    <w:rsid w:val="29C32D8A"/>
    <w:rsid w:val="2D8A0642"/>
    <w:rsid w:val="2F081A5A"/>
    <w:rsid w:val="350D19A4"/>
    <w:rsid w:val="372A05B9"/>
    <w:rsid w:val="3AC45785"/>
    <w:rsid w:val="3B3A57FE"/>
    <w:rsid w:val="4EE32B98"/>
    <w:rsid w:val="50850BED"/>
    <w:rsid w:val="51D610EC"/>
    <w:rsid w:val="536F7A4A"/>
    <w:rsid w:val="568850AA"/>
    <w:rsid w:val="56E65BD4"/>
    <w:rsid w:val="59A16434"/>
    <w:rsid w:val="5BE2751C"/>
    <w:rsid w:val="5CCE757F"/>
    <w:rsid w:val="5DE00AA9"/>
    <w:rsid w:val="5E07781D"/>
    <w:rsid w:val="6E6A2FFC"/>
    <w:rsid w:val="6F9772B8"/>
    <w:rsid w:val="6FEC4008"/>
    <w:rsid w:val="70303A44"/>
    <w:rsid w:val="7A197EAF"/>
    <w:rsid w:val="7F76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customStyle="1" w:styleId="5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2048</Words>
  <Characters>2120</Characters>
  <Lines>0</Lines>
  <Paragraphs>0</Paragraphs>
  <TotalTime>5</TotalTime>
  <ScaleCrop>false</ScaleCrop>
  <LinksUpToDate>false</LinksUpToDate>
  <CharactersWithSpaces>2185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2023-06-25T08:42:00Z</dcterms:created>
  <dc:creator>dell</dc:creator>
  <cp:lastModifiedBy>Administrator</cp:lastModifiedBy>
  <cp:lastPrinted>2024-01-19T06:19:00Z</cp:lastPrinted>
  <dcterms:modified xsi:type="dcterms:W3CDTF">2024-01-31T02:39:52Z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8839C158D0534B0BB52602645EE743CE_13</vt:lpwstr>
  </property>
</Properties>
</file>