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17ECE3">
      <w:pPr>
        <w:pStyle w:val="3"/>
        <w:keepNext w:val="0"/>
        <w:keepLines w:val="0"/>
        <w:pageBreakBefore w:val="0"/>
        <w:widowControl w:val="0"/>
        <w:kinsoku/>
        <w:wordWrap/>
        <w:overflowPunct w:val="0"/>
        <w:topLinePunct w:val="0"/>
        <w:autoSpaceDE/>
        <w:autoSpaceDN/>
        <w:bidi w:val="0"/>
        <w:adjustRightInd/>
        <w:snapToGrid/>
        <w:spacing w:after="0" w:line="580" w:lineRule="exact"/>
        <w:ind w:left="0" w:leftChars="0" w:firstLine="0" w:firstLineChars="0"/>
        <w:jc w:val="center"/>
        <w:textAlignment w:val="baseline"/>
        <w:rPr>
          <w:rFonts w:hint="eastAsia" w:ascii="Times New Roman" w:hAnsi="Times New Roman" w:eastAsia="方正小标宋简体" w:cs="Times New Roman"/>
          <w:b w:val="0"/>
          <w:bCs/>
          <w:iCs/>
          <w:snapToGrid w:val="0"/>
          <w:color w:val="auto"/>
          <w:kern w:val="0"/>
          <w:sz w:val="44"/>
          <w:szCs w:val="44"/>
          <w:lang w:val="en-US" w:eastAsia="zh-CN"/>
        </w:rPr>
      </w:pPr>
      <w:r>
        <w:rPr>
          <w:rFonts w:hint="eastAsia" w:ascii="Times New Roman" w:hAnsi="Times New Roman" w:eastAsia="方正小标宋简体" w:cs="Times New Roman"/>
          <w:b w:val="0"/>
          <w:bCs/>
          <w:iCs/>
          <w:snapToGrid w:val="0"/>
          <w:color w:val="auto"/>
          <w:kern w:val="0"/>
          <w:sz w:val="44"/>
          <w:szCs w:val="44"/>
          <w:lang w:val="en-US" w:eastAsia="zh-CN"/>
        </w:rPr>
        <w:t>薛城区行政审批服务局</w:t>
      </w:r>
    </w:p>
    <w:p w14:paraId="0E039992">
      <w:pPr>
        <w:pStyle w:val="3"/>
        <w:keepNext w:val="0"/>
        <w:keepLines w:val="0"/>
        <w:pageBreakBefore w:val="0"/>
        <w:widowControl w:val="0"/>
        <w:kinsoku/>
        <w:wordWrap/>
        <w:overflowPunct w:val="0"/>
        <w:topLinePunct w:val="0"/>
        <w:autoSpaceDE/>
        <w:autoSpaceDN/>
        <w:bidi w:val="0"/>
        <w:adjustRightInd/>
        <w:snapToGrid/>
        <w:spacing w:after="0" w:line="580" w:lineRule="exact"/>
        <w:ind w:left="0" w:leftChars="0" w:firstLine="0" w:firstLineChars="0"/>
        <w:jc w:val="center"/>
        <w:textAlignment w:val="baseline"/>
        <w:rPr>
          <w:rFonts w:hint="eastAsia" w:ascii="Times New Roman" w:hAnsi="Times New Roman" w:eastAsia="方正小标宋简体" w:cs="Times New Roman"/>
          <w:b w:val="0"/>
          <w:bCs/>
          <w:iCs/>
          <w:snapToGrid w:val="0"/>
          <w:color w:val="auto"/>
          <w:kern w:val="0"/>
          <w:sz w:val="44"/>
          <w:szCs w:val="44"/>
          <w:lang w:val="en-US" w:eastAsia="zh-CN"/>
        </w:rPr>
      </w:pPr>
      <w:r>
        <w:rPr>
          <w:rFonts w:hint="eastAsia" w:ascii="Times New Roman" w:hAnsi="Times New Roman" w:eastAsia="方正小标宋简体" w:cs="Times New Roman"/>
          <w:b w:val="0"/>
          <w:bCs/>
          <w:iCs/>
          <w:snapToGrid w:val="0"/>
          <w:color w:val="auto"/>
          <w:kern w:val="0"/>
          <w:sz w:val="44"/>
          <w:szCs w:val="44"/>
          <w:lang w:val="en-US" w:eastAsia="zh-CN"/>
        </w:rPr>
        <w:t>2026年度工作要点</w:t>
      </w:r>
    </w:p>
    <w:p w14:paraId="103C2BEC">
      <w:pPr>
        <w:pStyle w:val="4"/>
        <w:rPr>
          <w:rFonts w:hint="eastAsia" w:ascii="Times New Roman" w:hAnsi="Times New Roman" w:eastAsia="方正小标宋简体" w:cs="Times New Roman"/>
          <w:b w:val="0"/>
          <w:bCs/>
          <w:iCs/>
          <w:snapToGrid w:val="0"/>
          <w:color w:val="auto"/>
          <w:kern w:val="0"/>
          <w:sz w:val="44"/>
          <w:szCs w:val="44"/>
          <w:lang w:val="en-US" w:eastAsia="zh-CN"/>
        </w:rPr>
      </w:pPr>
    </w:p>
    <w:p w14:paraId="016D0517">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仿宋_GB2312" w:cs="Times New Roman"/>
          <w:b w:val="0"/>
          <w:bCs/>
          <w:color w:val="auto"/>
          <w:sz w:val="32"/>
          <w:szCs w:val="32"/>
          <w:shd w:val="clear" w:color="auto" w:fill="auto"/>
          <w:lang w:val="en-US" w:eastAsia="zh-CN"/>
        </w:rPr>
      </w:pPr>
      <w:r>
        <w:rPr>
          <w:rFonts w:hint="eastAsia" w:ascii="Times New Roman" w:hAnsi="Times New Roman" w:eastAsia="仿宋_GB2312" w:cs="Times New Roman"/>
          <w:b w:val="0"/>
          <w:bCs/>
          <w:color w:val="auto"/>
          <w:sz w:val="32"/>
          <w:szCs w:val="32"/>
          <w:shd w:val="clear" w:color="auto" w:fill="auto"/>
          <w:lang w:val="en-US" w:eastAsia="zh-CN"/>
        </w:rPr>
        <w:t>为全面贯彻落实国家、省、市、区关于优化营商环境的决策部署，薛城区行政审批服务局锚定“强工兴产、转型发展”战略目标，聚焦“服务企业年”工作主线，坚持政务为民、服务大局，以“高效办成一件事”为核心抓手，不断提高审批服务效能，助力全区经济社会高质量发展，制定本工作要点。</w:t>
      </w:r>
    </w:p>
    <w:p w14:paraId="5C78B789">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color w:val="auto"/>
          <w:kern w:val="2"/>
          <w:sz w:val="32"/>
          <w:szCs w:val="32"/>
          <w:shd w:val="clear" w:color="auto" w:fill="auto"/>
          <w:lang w:val="en-US" w:eastAsia="zh-CN" w:bidi="ar-SA"/>
        </w:rPr>
      </w:pPr>
      <w:r>
        <w:rPr>
          <w:rFonts w:hint="eastAsia" w:ascii="Times New Roman" w:hAnsi="Times New Roman" w:eastAsia="黑体" w:cs="Times New Roman"/>
          <w:b w:val="0"/>
          <w:bCs/>
          <w:color w:val="auto"/>
          <w:kern w:val="2"/>
          <w:sz w:val="32"/>
          <w:szCs w:val="32"/>
          <w:shd w:val="clear" w:color="auto" w:fill="auto"/>
          <w:lang w:val="en-US" w:eastAsia="zh-CN" w:bidi="ar-SA"/>
        </w:rPr>
        <w:t>总体目标</w:t>
      </w:r>
    </w:p>
    <w:p w14:paraId="3C4EF080">
      <w:pPr>
        <w:pStyle w:val="5"/>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val="0"/>
          <w:bCs/>
          <w:color w:val="auto"/>
          <w:kern w:val="2"/>
          <w:sz w:val="32"/>
          <w:szCs w:val="32"/>
          <w:shd w:val="clear" w:color="auto" w:fill="auto"/>
          <w:lang w:val="en-US" w:eastAsia="zh-CN" w:bidi="ar-SA"/>
        </w:rPr>
        <w:t>2026年，始终坚守“以人民为中心”的发展思想，以“提质、提速、提效、提优”为目标，坚持需求导向，持续深化“放管服”改革，立足行政审批、政务服务、公共资源交易三大主责主业，系统推进政务服务标准化、规范化、便利化、数字化建设。通过集成创新、流程再造、服务升级，着力构建全周期、全链条、一站式的服务体系，</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将服务触角精准延伸至企业和群众全生命周期关键环节，以优质高效的审批服务切实为企业和群众办实事、解难题，为全区经济社会高质量发展提供坚强政务服务支撑。</w:t>
      </w:r>
    </w:p>
    <w:p w14:paraId="1C2C9E21">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eastAsia" w:ascii="Times New Roman" w:hAnsi="Times New Roman" w:eastAsia="黑体" w:cs="Times New Roman"/>
          <w:b w:val="0"/>
          <w:bCs/>
          <w:color w:val="auto"/>
          <w:kern w:val="2"/>
          <w:sz w:val="32"/>
          <w:szCs w:val="32"/>
          <w:shd w:val="clear" w:color="auto" w:fill="auto"/>
          <w:lang w:val="en-US" w:eastAsia="zh-CN" w:bidi="ar-SA"/>
        </w:rPr>
      </w:pPr>
      <w:r>
        <w:rPr>
          <w:rFonts w:hint="eastAsia" w:ascii="Times New Roman" w:hAnsi="Times New Roman" w:eastAsia="黑体" w:cs="Times New Roman"/>
          <w:b w:val="0"/>
          <w:bCs/>
          <w:color w:val="auto"/>
          <w:kern w:val="2"/>
          <w:sz w:val="32"/>
          <w:szCs w:val="32"/>
          <w:shd w:val="clear" w:color="auto" w:fill="auto"/>
          <w:lang w:val="en-US" w:eastAsia="zh-CN" w:bidi="ar-SA"/>
        </w:rPr>
        <w:t>重点举措</w:t>
      </w:r>
    </w:p>
    <w:p w14:paraId="2D155AB1">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深耕</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w:t>
      </w:r>
      <w:r>
        <w:rPr>
          <w:rFonts w:hint="eastAsia" w:ascii="楷体_GB2312" w:hAnsi="楷体_GB2312" w:eastAsia="楷体_GB2312" w:cs="楷体_GB2312"/>
          <w:b w:val="0"/>
          <w:bCs w:val="0"/>
          <w:color w:val="000000" w:themeColor="text1"/>
          <w:kern w:val="2"/>
          <w:sz w:val="32"/>
          <w:szCs w:val="32"/>
          <w:lang w:val="en-US" w:eastAsia="zh-CN" w:bidi="ar-SA"/>
          <w14:textFill>
            <w14:solidFill>
              <w14:schemeClr w14:val="tx1"/>
            </w14:solidFill>
          </w14:textFill>
        </w:rPr>
        <w:t>高效办成一件事</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w:t>
      </w: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改革</w:t>
      </w:r>
    </w:p>
    <w:p w14:paraId="73440B73">
      <w:pPr>
        <w:pStyle w:val="5"/>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1.聚力优化扩面提质。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健全“高效办成一件事”重点事项常态化推进机制，深入贯彻落实国家、省、市工作部署，高标准落地新增“一件事”事项，对已落地事项开展“再优化”行动，力争申报材料再压减、审批时限再压缩，推动好办易办率再提升。积极将成熟的“一件事”服务标准、系统操作、办事指南延伸至镇街便民服务中心。</w:t>
      </w:r>
    </w:p>
    <w:p w14:paraId="11FFBEF6">
      <w:pPr>
        <w:pStyle w:val="5"/>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2.打造地区特色服务场景。</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紧扣薛城文旅、康养等特色产业发展需求，在现有“景区开店经营”“分布式光伏发电”等特色场景基础上，重点推进“医养结合一件事”集成服务，实现两院一体审批融合，整合医养相关审批事项，实现联合踏勘、同步发证，力争办理时限压缩50%以上，助力全区“两院一体”项目顺利运营。</w:t>
      </w:r>
    </w:p>
    <w:p w14:paraId="42D223D9">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3.强化精准宣传推广。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依托政务服务网、政务大厅、新媒体等多种渠道，开展多层次、立体化政策解读与宣传引导，针对不同行业、不同群体开展“一件事”政策解读和流程指引，提升企业群众知晓率和使用率，让改革红利充分释放。</w:t>
      </w:r>
    </w:p>
    <w:p w14:paraId="67AD3C23">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优化升级审批业务流程</w:t>
      </w:r>
    </w:p>
    <w:p w14:paraId="7122C714">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4.提升市场准入退出便利度。</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严格落实市场准入负面清单制度，持续放宽市场准入限制，降低创业经营门槛，充分激发市场内生发展活力。全面贯彻执行新版《经营主体登记提交材料规范》《经营主体登记文书规范》，统一登记审核标准，规范业务办理流程，稳步提升登记工作标准化规范化水平。完善市场主体退出机制。深化企业简易注销“四险一金”改革，完善企业注销异议反馈机制，配合做好强制注销公司登记工作，进一步提高市场主体退出效率。健全完善登记案卷长效评查机制，常态化开展注册登记、行政许可案卷自查自纠，及时</w:t>
      </w:r>
      <w:bookmarkStart w:id="0" w:name="_GoBack"/>
      <w:bookmarkEnd w:id="0"/>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规范登记执法履职行为。持续组织开展岗位练兵比武，夯实一线人员业务功底，营造比学赶超、争先创优的浓厚工作氛围。</w:t>
      </w:r>
    </w:p>
    <w:p w14:paraId="2D1487D0">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5.</w:t>
      </w:r>
      <w:r>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t>赋能重点项目提速增效</w:t>
      </w: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创新工程建设项目审批模式，继续在全区深入推行“函证并行”服务模式，经行业主管部门同意，允许项目在确保安全前提下先行开工。创新推行新上重点项目“一链代办”服务模式，统筹协调解决项目在审批中遇到的“业务办理耗时长、跨部门业务沟通不畅、材料准备难下手”等难点堵点，为区域营商环境注入强劲动力。</w:t>
      </w:r>
    </w:p>
    <w:p w14:paraId="4D28F66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color w:val="auto"/>
          <w:sz w:val="32"/>
          <w:szCs w:val="32"/>
          <w:lang w:eastAsia="zh-CN"/>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6.推进一件事一次办集成改革。</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系统整合同领域许可事项，实现从“一件事”向“一类事”集约升级。创新构建</w:t>
      </w:r>
      <w:r>
        <w:rPr>
          <w:rFonts w:hint="eastAsia" w:ascii="仿宋" w:hAnsi="仿宋" w:eastAsia="仿宋" w:cs="仿宋"/>
          <w:color w:val="auto"/>
          <w:sz w:val="32"/>
          <w:szCs w:val="32"/>
          <w:lang w:eastAsia="zh-CN"/>
        </w:rPr>
        <w:t>1+N+X集成审批体系，即</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个主题、N类场景、X项集成。赋能极简审批、提质增效，积极探索农业全生命周期全链条集成服务新模式。</w:t>
      </w:r>
    </w:p>
    <w:p w14:paraId="601C6AAE">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lang w:val="en-US" w:eastAsia="zh-CN"/>
        </w:rPr>
      </w:pPr>
      <w:r>
        <w:rPr>
          <w:rFonts w:hint="eastAsia" w:ascii="仿宋" w:hAnsi="仿宋" w:eastAsia="仿宋" w:cs="仿宋"/>
          <w:b/>
          <w:bCs/>
          <w:color w:val="auto"/>
          <w:sz w:val="32"/>
          <w:szCs w:val="32"/>
          <w:lang w:val="en-US" w:eastAsia="zh-CN"/>
        </w:rPr>
        <w:t>7.优化道路运输领域证照延续服务。</w:t>
      </w:r>
      <w:r>
        <w:rPr>
          <w:rFonts w:hint="eastAsia" w:ascii="仿宋" w:hAnsi="仿宋" w:eastAsia="仿宋" w:cs="仿宋"/>
          <w:color w:val="auto"/>
          <w:sz w:val="32"/>
          <w:szCs w:val="32"/>
          <w:lang w:eastAsia="zh-CN"/>
        </w:rPr>
        <w:t>针对道路运输经营许可证在有效期内因不可抗力无法按期延续的痛点，坚持审慎包容、柔性服务导向，研究出台专项审批服务举措，进一步明确适用情形、细化认定标准、优化办事流程，全面推行柔性审批、容缺补办，依规免除不可抗力导致的逾期追责，以有温度、人性化的政务服务为市场主体减负松绑。</w:t>
      </w:r>
    </w:p>
    <w:p w14:paraId="10157DEB">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全面提升政务服务办事体验</w:t>
      </w:r>
    </w:p>
    <w:p w14:paraId="705864D6">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8.以标准化建设提升网上办事效能。</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紧扣省市要求，以统一标准、全域落地、动态优化为核心，推进区、</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镇（街）、村（社区）</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各</w:t>
      </w:r>
      <w:r>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t>级政务服务事项同源同标办</w:t>
      </w:r>
      <w:r>
        <w:rPr>
          <w:rFonts w:hint="default" w:ascii="Times New Roman" w:hAnsi="Times New Roman" w:eastAsia="仿宋_GB2312" w:cs="Times New Roman"/>
          <w:sz w:val="32"/>
          <w:szCs w:val="32"/>
          <w:lang w:val="en-US" w:eastAsia="zh-CN"/>
        </w:rPr>
        <w:t>理，</w:t>
      </w:r>
      <w:r>
        <w:rPr>
          <w:rFonts w:hint="eastAsia" w:ascii="Times New Roman" w:hAnsi="Times New Roman" w:eastAsia="仿宋_GB2312" w:cs="Times New Roman"/>
          <w:sz w:val="32"/>
          <w:szCs w:val="32"/>
          <w:lang w:val="en-US" w:eastAsia="zh-CN"/>
        </w:rPr>
        <w:t>统一事项要素、动态更新办事指南、畅通基层反馈，确保同一事项无差别受理、同标准办理。依托“爱山东”平台与政务中台，全面提升网办服务质效，规范网办标准、强化数据共享，常态化开展网办核验与专项培训，多渠道引导企业群众线上办事，推动网办成为政务服务主渠道。</w:t>
      </w:r>
    </w:p>
    <w:p w14:paraId="008E528D">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9.夯实帮办代办工作基础。</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紧扣“服务企业年”工作主题，优化审批模式、强化部门协同、规范服务管理。严格落实工作报送制度，按月统计汇总帮办办件数量，动态更新、整理留存工作台账；配齐配强专兼职帮办代办人员，明确工作职责、规范服务流程；落实帮办事项清单，做到事项清晰、服务有据、办理规范，保障日常帮办服务平稳有序、落地见效。</w:t>
      </w:r>
    </w:p>
    <w:p w14:paraId="7D6B1C4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10.提质“1530”政务服务圈建设。</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对照市级建设要求，结合薛城城区实际布局特点，在不断优化已建设便民服务点的基础上，计划新增万洲第一街便民服务点，实现政务服务“就近办”。统一各网点服务标准、宣传物料和办事指南，确保服务质量标准化。建立“1530”政务服务圈网点动态管理机制，定期对各网点服务开展情况进行检查督导，针对发现的问题及时整改，提升跨领域办件能力和服务水平，确保网点不仅“建起来”，更能“跑起来、优起来”。</w:t>
      </w:r>
    </w:p>
    <w:p w14:paraId="0BDB1C10">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11.</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深化“我陪群众走流程”扩面增效。</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市级“沉浸式”体验要求，将涉企高频事项、企业开办注销、项目审批及“一件事”联办等涉企服务事项全部纳入体验范围；精准查找网办不畅、材料繁杂、协同衔接不顺、基层网点涉企服务能力不足等问题，对走流程、坐窗口中发现的企业办事堵点、政策落地难点，实行清单式管理、销号式整改，推动问题解决从“个案处置”向“制度创新”“流程再造”深化；建立“回头看”机制，整改完成后及时反馈，跟踪整改成效，将优秀整改经验固化为服务规范。同时以体验结果反哺“一件事”流程优化、系统对接和服务能力提升。</w:t>
      </w:r>
    </w:p>
    <w:p w14:paraId="44F00367">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lang w:val="en-US" w:eastAsia="zh-CN"/>
        </w:rPr>
      </w:pPr>
      <w:r>
        <w:rPr>
          <w:rFonts w:hint="eastAsia" w:ascii="仿宋_GB2312" w:hAnsi="仿宋_GB2312" w:eastAsia="仿宋_GB2312" w:cs="仿宋_GB2312"/>
          <w:b/>
          <w:bCs/>
          <w:color w:val="000000" w:themeColor="text1"/>
          <w:kern w:val="2"/>
          <w:sz w:val="32"/>
          <w:szCs w:val="32"/>
          <w:lang w:val="en-US" w:eastAsia="zh-CN" w:bidi="ar-SA"/>
          <w14:textFill>
            <w14:solidFill>
              <w14:schemeClr w14:val="tx1"/>
            </w14:solidFill>
          </w14:textFill>
        </w:rPr>
        <w:t>12.以法治引领筑牢审批防线。</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紧扣民法典宣传日、宪法宣传周等节点精准普及审批相关法律法规。严格执行重大执法决定法制审核，落实目录清单管理。制定年度法治培训计划，办好法治讲堂，不断提升工作人员依法履职能力。严格行政执法人员证件管理，规范证件申领、注销全流程管理，落实持证上岗制度，确保审批服务合法依规开展。</w:t>
      </w:r>
    </w:p>
    <w:p w14:paraId="0F4C987B">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健全审管联动与效能督导机制</w:t>
      </w:r>
    </w:p>
    <w:p w14:paraId="6589224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13.强化审管互动全流程闭环管理。</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依托审管互动平台和政务服务平台效能监控功能，构建覆盖信息推送、业务咨询、办件时效的全流程闭环管理体系。压实审管信息互动责任，配合市级持续优化审管互动平台功能，严格落实“当日推送、次日认领、周五结清”工作机制，强化“日督导、周汇总、月通报”制度，每日公示推送认领数据，每周形成工作周报，每月开展区级通报，确保“应推尽推、应领尽领”。</w:t>
      </w:r>
    </w:p>
    <w:p w14:paraId="2EA8676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14.</w:t>
      </w: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健全监管长效工作机制。</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强化业务咨询答复督导，建立全流程跟踪机制，督促各政务服务部门严格落实3个工作日内按期答复要求。定期抽查咨询答复质量，重点排查答复敷衍、推诿扯皮、超期未答等问题。加强超时办件监控预警，依托政务服务平台办件数据，建立常态化超期办件预警和通报机制，重点关注承诺时限内未办结事项，逐件分析超期原因，助力流程优化、时限压缩。</w:t>
      </w:r>
    </w:p>
    <w:p w14:paraId="647ABF22">
      <w:pPr>
        <w:pStyle w:val="5"/>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15.深化审管协同与数据应用。</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定期梳理分析推送数据、认领情况、咨询回复和超期问题，推动审批结果与监督结果双向反馈、双向应用。对高频咨询事项、易超期事项，主动对接监管部门，推动形成“审批提速、监管提效、服务提质”的良性循环。</w:t>
      </w:r>
    </w:p>
    <w:p w14:paraId="09829867">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t>推动公共资源交易服务提升</w:t>
      </w:r>
    </w:p>
    <w:p w14:paraId="543936BA">
      <w:pPr>
        <w:spacing w:line="580" w:lineRule="exact"/>
        <w:ind w:firstLine="643" w:firstLineChars="200"/>
        <w:rPr>
          <w:rFonts w:hint="eastAsia" w:ascii="仿宋_GB2312" w:eastAsia="仿宋_GB2312"/>
          <w:sz w:val="32"/>
          <w:szCs w:val="32"/>
          <w:lang w:eastAsia="zh-CN"/>
        </w:rPr>
      </w:pPr>
      <w:r>
        <w:rPr>
          <w:rFonts w:hint="eastAsia" w:ascii="仿宋_GB2312" w:eastAsia="仿宋_GB2312"/>
          <w:b/>
          <w:bCs/>
          <w:sz w:val="32"/>
          <w:szCs w:val="32"/>
          <w:lang w:val="en-US" w:eastAsia="zh-CN"/>
        </w:rPr>
        <w:t>16.</w:t>
      </w:r>
      <w:r>
        <w:rPr>
          <w:rFonts w:hint="eastAsia" w:ascii="仿宋_GB2312" w:eastAsia="仿宋_GB2312"/>
          <w:b/>
          <w:bCs/>
          <w:sz w:val="32"/>
          <w:szCs w:val="32"/>
        </w:rPr>
        <w:t>提升平台承载服务供给能力。</w:t>
      </w:r>
      <w:r>
        <w:rPr>
          <w:rFonts w:hint="eastAsia" w:ascii="仿宋_GB2312" w:eastAsia="仿宋_GB2312"/>
          <w:sz w:val="32"/>
          <w:szCs w:val="32"/>
        </w:rPr>
        <w:t>持续深化公共资源交易平台改革创新，主动融入全国统一大市场建设。完善提升场所交易服务功能</w:t>
      </w:r>
      <w:r>
        <w:rPr>
          <w:rFonts w:hint="eastAsia" w:ascii="仿宋_GB2312" w:eastAsia="仿宋_GB2312"/>
          <w:sz w:val="32"/>
          <w:szCs w:val="32"/>
          <w:lang w:eastAsia="zh-CN"/>
        </w:rPr>
        <w:t>和</w:t>
      </w:r>
      <w:r>
        <w:rPr>
          <w:rFonts w:hint="eastAsia" w:ascii="仿宋_GB2312" w:eastAsia="仿宋_GB2312"/>
          <w:sz w:val="32"/>
          <w:szCs w:val="32"/>
        </w:rPr>
        <w:t>平台承载服务能力要素保障，积极配合做好目录内进场交易项目全流程电子化、不见面开标常态化、招标代理机构等不进评标室全流程在线“零接触”服务、市域内多点分散评标、省域内分散评标或跨省远程异地评标常态化，保障各类市场主体公平参与竞争；积极配合推进省政府采购电子交易系统优化升级及推广应用，着力实现标书匿名化、评审随机化、结果公平化</w:t>
      </w:r>
      <w:r>
        <w:rPr>
          <w:rFonts w:hint="eastAsia" w:ascii="仿宋_GB2312" w:eastAsia="仿宋_GB2312"/>
          <w:sz w:val="32"/>
          <w:szCs w:val="32"/>
          <w:lang w:eastAsia="zh-CN"/>
        </w:rPr>
        <w:t>。</w:t>
      </w:r>
    </w:p>
    <w:p w14:paraId="446368EC">
      <w:pPr>
        <w:spacing w:line="580" w:lineRule="exact"/>
        <w:ind w:firstLine="643" w:firstLineChars="200"/>
        <w:rPr>
          <w:rFonts w:hint="eastAsia" w:ascii="仿宋_GB2312" w:eastAsia="仿宋_GB2312"/>
          <w:sz w:val="32"/>
          <w:szCs w:val="32"/>
        </w:rPr>
      </w:pPr>
      <w:r>
        <w:rPr>
          <w:rFonts w:hint="eastAsia" w:ascii="仿宋_GB2312" w:eastAsia="仿宋_GB2312"/>
          <w:b/>
          <w:bCs/>
          <w:sz w:val="32"/>
          <w:szCs w:val="32"/>
          <w:lang w:val="en-US" w:eastAsia="zh-CN"/>
        </w:rPr>
        <w:t>17.持续拓展交易服务覆盖面。</w:t>
      </w:r>
      <w:r>
        <w:rPr>
          <w:rFonts w:hint="eastAsia" w:ascii="仿宋_GB2312" w:eastAsia="仿宋_GB2312"/>
          <w:sz w:val="32"/>
          <w:szCs w:val="32"/>
        </w:rPr>
        <w:t>全面推广农村集体产权流转“省建市用、一网通办” 数字化交易模式；积极配合推广“云智监管”、“三码同源”、“电子保函”等应用，助力“无押金城市”建设及惠民服务。持续深化农村集体产权流转交易成效，全面推广“省建市用、一网通办”模式，着力实现省农村产权交易系统涉农镇（街）全覆盖。扎实推动废旧物资进场交易常态化发展，优化交易服务效能，提升资产流转效率，全力推动存量资源“应进必进、能进则进”，形成有效交易增量。</w:t>
      </w:r>
    </w:p>
    <w:p w14:paraId="09202353">
      <w:pPr>
        <w:spacing w:line="580" w:lineRule="exact"/>
        <w:ind w:firstLine="643" w:firstLineChars="200"/>
        <w:rPr>
          <w:rFonts w:hint="eastAsia" w:ascii="仿宋_GB2312" w:eastAsia="仿宋_GB2312"/>
          <w:sz w:val="32"/>
          <w:szCs w:val="32"/>
        </w:rPr>
      </w:pPr>
      <w:r>
        <w:rPr>
          <w:rFonts w:hint="eastAsia" w:ascii="楷体_GB2312" w:hAnsi="楷体_GB2312" w:eastAsia="楷体_GB2312" w:cs="楷体_GB2312"/>
          <w:b/>
          <w:bCs/>
          <w:color w:val="000000" w:themeColor="text1"/>
          <w:kern w:val="2"/>
          <w:sz w:val="32"/>
          <w:szCs w:val="32"/>
          <w:lang w:val="en-US" w:eastAsia="zh-CN" w:bidi="ar-SA"/>
          <w14:textFill>
            <w14:solidFill>
              <w14:schemeClr w14:val="tx1"/>
            </w14:solidFill>
          </w14:textFill>
        </w:rPr>
        <w:t>18.</w:t>
      </w:r>
      <w:r>
        <w:rPr>
          <w:rFonts w:hint="eastAsia" w:ascii="仿宋_GB2312" w:eastAsia="仿宋_GB2312"/>
          <w:b/>
          <w:bCs/>
          <w:sz w:val="32"/>
          <w:szCs w:val="32"/>
        </w:rPr>
        <w:t>健全完善进场交易服务管理。</w:t>
      </w:r>
      <w:r>
        <w:rPr>
          <w:rFonts w:hint="eastAsia" w:ascii="仿宋_GB2312" w:eastAsia="仿宋_GB2312"/>
          <w:sz w:val="32"/>
          <w:szCs w:val="32"/>
        </w:rPr>
        <w:t>认真贯彻落实《山东省公共资源交易目录（2024 年版）》（鲁发改公管〔2024〕1004号）《关于山东省政府集中采购目录及标准（2026 年版）的通知》（鲁财采〔2025〕19号）等文件精神，围绕见证、场所、信息、档案、专家抽取等公共资源交易服务，持续优化服务流程，扎实做好集中采购服务工作；严格落实省市交易服务标准，积极配合推进省市区公共资源交易平台优化升级和一体化融合发展，推动交易服务从“能办”向“快办、好办、暖心办”；扎实做好现场见证管理，规范数字档案管理、交易数据纵横向推送报送等工作，切实为交易主体、社会公众和行政监督部门提供交易保障、信息服务和精准监督支持。</w:t>
      </w:r>
    </w:p>
    <w:p w14:paraId="7F662B31">
      <w:pPr>
        <w:spacing w:line="580" w:lineRule="exact"/>
        <w:ind w:firstLine="643" w:firstLineChars="200"/>
        <w:rPr>
          <w:rFonts w:hint="default"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仿宋_GB2312" w:eastAsia="仿宋_GB2312"/>
          <w:b/>
          <w:bCs/>
          <w:sz w:val="32"/>
          <w:szCs w:val="32"/>
          <w:lang w:val="en-US" w:eastAsia="zh-CN"/>
        </w:rPr>
        <w:t>19.</w:t>
      </w:r>
      <w:r>
        <w:rPr>
          <w:rFonts w:hint="eastAsia" w:ascii="仿宋_GB2312" w:eastAsia="仿宋_GB2312"/>
          <w:b/>
          <w:bCs/>
          <w:sz w:val="32"/>
          <w:szCs w:val="32"/>
        </w:rPr>
        <w:t>深化突出问题系统整治。</w:t>
      </w:r>
      <w:r>
        <w:rPr>
          <w:rFonts w:hint="eastAsia" w:ascii="仿宋_GB2312" w:eastAsia="仿宋_GB2312"/>
          <w:sz w:val="32"/>
          <w:szCs w:val="32"/>
        </w:rPr>
        <w:t>落实上级统一部署，扎实推进招标投标领域突出问题系统整治与平台整合共享有机融合改革，进一步增强改革意识，树牢改革精神，细化改革举措，持续开展系统整治，补齐制度机制短板，规范交易市场秩序，优化公共资源交易领域营商环境。</w:t>
      </w:r>
    </w:p>
    <w:p w14:paraId="7A43854A">
      <w:pPr>
        <w:keepNext w:val="0"/>
        <w:keepLines w:val="0"/>
        <w:pageBreakBefore w:val="0"/>
        <w:widowControl/>
        <w:numPr>
          <w:ilvl w:val="0"/>
          <w:numId w:val="1"/>
        </w:numPr>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黑体" w:cs="Times New Roman"/>
          <w:b w:val="0"/>
          <w:bCs/>
          <w:color w:val="auto"/>
          <w:kern w:val="2"/>
          <w:sz w:val="32"/>
          <w:szCs w:val="32"/>
          <w:shd w:val="clear" w:color="auto" w:fill="auto"/>
          <w:lang w:val="en-US" w:eastAsia="zh-CN" w:bidi="ar-SA"/>
        </w:rPr>
      </w:pPr>
      <w:r>
        <w:rPr>
          <w:rFonts w:hint="eastAsia" w:ascii="Times New Roman" w:hAnsi="Times New Roman" w:eastAsia="黑体" w:cs="Times New Roman"/>
          <w:b w:val="0"/>
          <w:bCs/>
          <w:color w:val="auto"/>
          <w:kern w:val="2"/>
          <w:sz w:val="32"/>
          <w:szCs w:val="32"/>
          <w:shd w:val="clear" w:color="auto" w:fill="auto"/>
          <w:lang w:val="en-US" w:eastAsia="zh-CN" w:bidi="ar-SA"/>
        </w:rPr>
        <w:t>组织保障</w:t>
      </w:r>
    </w:p>
    <w:p w14:paraId="520290DB">
      <w:pPr>
        <w:pStyle w:val="5"/>
        <w:keepNext w:val="0"/>
        <w:keepLines w:val="0"/>
        <w:pageBreakBefore w:val="0"/>
        <w:widowControl w:val="0"/>
        <w:numPr>
          <w:ilvl w:val="0"/>
          <w:numId w:val="3"/>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党建</w:t>
      </w:r>
      <w:r>
        <w:rPr>
          <w:rFonts w:hint="eastAsia" w:ascii="Times New Roman" w:hAnsi="Times New Roman" w:eastAsia="楷体_GB2312" w:cs="Times New Roman"/>
          <w:sz w:val="32"/>
          <w:szCs w:val="32"/>
          <w:lang w:eastAsia="zh-CN"/>
        </w:rPr>
        <w:t>引领，激发实干担当。</w:t>
      </w:r>
      <w:r>
        <w:rPr>
          <w:rFonts w:hint="default" w:ascii="Times New Roman" w:hAnsi="Times New Roman" w:eastAsia="仿宋_GB2312" w:cs="Times New Roman"/>
          <w:sz w:val="32"/>
          <w:szCs w:val="32"/>
        </w:rPr>
        <w:t>以习近平新时代中国特色社会主义思想为指导，全面贯彻党的二十大和二十届三中、四中全会、二十届中央纪委五次全会精神，深入学习习近平总书记关于机关党建、政务服务、优化营商环境重要论述，以政治建设为统领，以模范机关、清廉机关、“四强”党支部建设为抓手，聚焦铸魂领航、强基固本、融合赋能、清风护航、先锋示范，推动党建与审批服务深度融合，锻造忠诚干净担当政务铁军，为高效能审批、高品质服务、一流营商环境提供坚强政治保障。</w:t>
      </w:r>
    </w:p>
    <w:p w14:paraId="0A74D61D">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（二）内外发力，提升履职水平。</w:t>
      </w:r>
      <w:r>
        <w:rPr>
          <w:rFonts w:hint="eastAsia" w:ascii="Times New Roman" w:hAnsi="Times New Roman" w:eastAsia="仿宋_GB2312" w:cs="Times New Roman"/>
          <w:kern w:val="2"/>
          <w:sz w:val="32"/>
          <w:szCs w:val="32"/>
          <w:lang w:val="en-US" w:eastAsia="zh-CN" w:bidi="ar-SA"/>
        </w:rPr>
        <w:t>健全内部培训培养体系，积极组织参与上级专题培训、网络业务培训，利用每日晨会开展工作经验分享，并围绕新政解读、典型案例、跨部门协作等进行交流学习，提升队伍能力素养；充分利用“12345”热线、“枣解决 枣满意”诉求办理平台等进行监督，梳理服务短板与突出问题，以多方渠道健全全流程服务监督，以群众监督反馈倒逼水平能力提升。</w:t>
      </w:r>
    </w:p>
    <w:p w14:paraId="0487FD69">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Times New Roman" w:hAnsi="Times New Roman" w:eastAsia="楷体_GB2312" w:cs="Times New Roman"/>
          <w:kern w:val="2"/>
          <w:sz w:val="32"/>
          <w:szCs w:val="32"/>
          <w:lang w:val="en-US" w:eastAsia="zh-CN" w:bidi="ar-SA"/>
        </w:rPr>
      </w:pPr>
      <w:r>
        <w:rPr>
          <w:rFonts w:hint="eastAsia" w:ascii="Times New Roman" w:hAnsi="Times New Roman" w:eastAsia="楷体_GB2312" w:cs="Times New Roman"/>
          <w:kern w:val="2"/>
          <w:sz w:val="32"/>
          <w:szCs w:val="32"/>
          <w:lang w:val="en-US" w:eastAsia="zh-CN" w:bidi="ar-SA"/>
        </w:rPr>
        <w:t>（三）守牢底线，</w:t>
      </w:r>
      <w:r>
        <w:rPr>
          <w:rFonts w:hint="default" w:ascii="Times New Roman" w:hAnsi="Times New Roman" w:eastAsia="楷体_GB2312" w:cs="Times New Roman"/>
          <w:sz w:val="32"/>
          <w:szCs w:val="32"/>
        </w:rPr>
        <w:t>护航</w:t>
      </w:r>
      <w:r>
        <w:rPr>
          <w:rFonts w:hint="eastAsia" w:ascii="Times New Roman" w:hAnsi="Times New Roman" w:eastAsia="楷体_GB2312" w:cs="Times New Roman"/>
          <w:sz w:val="32"/>
          <w:szCs w:val="32"/>
          <w:lang w:eastAsia="zh-CN"/>
        </w:rPr>
        <w:t>审批服务。</w:t>
      </w:r>
      <w:r>
        <w:rPr>
          <w:rFonts w:hint="eastAsia" w:ascii="Times New Roman" w:hAnsi="Times New Roman" w:eastAsia="仿宋_GB2312" w:cs="Times New Roman"/>
          <w:kern w:val="2"/>
          <w:sz w:val="32"/>
          <w:szCs w:val="32"/>
          <w:lang w:val="en-US" w:eastAsia="zh-CN" w:bidi="ar-SA"/>
        </w:rPr>
        <w:t>认真落实意识形态工作责任制，加强宣传阵地与网络监管，严把信息发布审核关口，常态化开展思想教育，筑牢思想安全防线。严守保密制度规定，规范涉密文件、载体及办公物品管理，防范失泄密风险；压实安全生产主体责任，定期进行大厅及办公区域安全隐患排查整治，开展好安全宣教及应急演练，守住安全底线。</w:t>
      </w:r>
    </w:p>
    <w:p w14:paraId="615757D1">
      <w:pPr>
        <w:pStyle w:val="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80B2A7"/>
    <w:multiLevelType w:val="singleLevel"/>
    <w:tmpl w:val="F280B2A7"/>
    <w:lvl w:ilvl="0" w:tentative="0">
      <w:start w:val="1"/>
      <w:numFmt w:val="chineseCounting"/>
      <w:suff w:val="nothing"/>
      <w:lvlText w:val="%1、"/>
      <w:lvlJc w:val="left"/>
      <w:rPr>
        <w:rFonts w:hint="eastAsia"/>
      </w:rPr>
    </w:lvl>
  </w:abstractNum>
  <w:abstractNum w:abstractNumId="1">
    <w:nsid w:val="05B026D6"/>
    <w:multiLevelType w:val="singleLevel"/>
    <w:tmpl w:val="05B026D6"/>
    <w:lvl w:ilvl="0" w:tentative="0">
      <w:start w:val="1"/>
      <w:numFmt w:val="chineseCounting"/>
      <w:suff w:val="nothing"/>
      <w:lvlText w:val="（%1）"/>
      <w:lvlJc w:val="left"/>
      <w:rPr>
        <w:rFonts w:hint="eastAsia"/>
      </w:rPr>
    </w:lvl>
  </w:abstractNum>
  <w:abstractNum w:abstractNumId="2">
    <w:nsid w:val="7B76D8F9"/>
    <w:multiLevelType w:val="singleLevel"/>
    <w:tmpl w:val="7B76D8F9"/>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94C0C"/>
    <w:rsid w:val="0B4C4C98"/>
    <w:rsid w:val="0B594C0C"/>
    <w:rsid w:val="0D445E3D"/>
    <w:rsid w:val="22AF2AB3"/>
    <w:rsid w:val="2E221675"/>
    <w:rsid w:val="30B7484A"/>
    <w:rsid w:val="35C463ED"/>
    <w:rsid w:val="585170D3"/>
    <w:rsid w:val="59031A3D"/>
    <w:rsid w:val="5CFE649F"/>
    <w:rsid w:val="611B6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ind w:firstLine="643"/>
      <w:outlineLvl w:val="1"/>
    </w:pPr>
    <w:rPr>
      <w:rFonts w:ascii="黑体" w:hAnsi="黑体" w:eastAsia="黑体"/>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styleId="4">
    <w:name w:val="toc 5"/>
    <w:basedOn w:val="1"/>
    <w:next w:val="1"/>
    <w:qFormat/>
    <w:uiPriority w:val="0"/>
    <w:pPr>
      <w:ind w:left="1680" w:leftChars="800"/>
    </w:pPr>
    <w:rPr>
      <w:rFonts w:ascii="Times New Roman" w:hAnsi="Times New Roman"/>
    </w:rPr>
  </w:style>
  <w:style w:type="paragraph" w:styleId="5">
    <w:name w:val="toc 1"/>
    <w:basedOn w:val="1"/>
    <w:next w:val="1"/>
    <w:unhideWhenUsed/>
    <w:qFormat/>
    <w:uiPriority w:val="3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4328</Words>
  <Characters>4395</Characters>
  <Lines>0</Lines>
  <Paragraphs>0</Paragraphs>
  <TotalTime>23</TotalTime>
  <ScaleCrop>false</ScaleCrop>
  <LinksUpToDate>false</LinksUpToDate>
  <CharactersWithSpaces>4399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2026-05-11T02:51:00Z</dcterms:created>
  <dc:creator>C.qing</dc:creator>
  <cp:lastModifiedBy>C.qing</cp:lastModifiedBy>
  <cp:lastPrinted>2026-05-18T06:20:00Z</cp:lastPrinted>
  <dcterms:modified xsi:type="dcterms:W3CDTF">2026-05-18T08:22:24Z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A83B85A776B4455F8704517C429C144F_13</vt:lpwstr>
  </property>
  <property fmtid="{D5CDD505-2E9C-101B-9397-08002B2CF9AE}" pid="4" name="KSOTemplateDocerSaveRecord">
    <vt:lpwstr>eyJoZGlkIjoiYjQwNzA4YzRiMWU5MzBhODU0MzMzMTUzZmIzNjRiNmUiLCJ1c2VySWQiOiIzMDgzOTE3NDgifQ==</vt:lpwstr>
  </property>
</Properties>
</file>