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B6C95">
      <w:pPr>
        <w:keepNext w:val="0"/>
        <w:keepLines w:val="0"/>
        <w:pageBreakBefore w:val="0"/>
        <w:widowControl w:val="0"/>
        <w:kinsoku/>
        <w:wordWrap/>
        <w:overflowPunct/>
        <w:topLinePunct w:val="0"/>
        <w:autoSpaceDE/>
        <w:autoSpaceDN/>
        <w:bidi w:val="0"/>
        <w:adjustRightInd/>
        <w:snapToGrid/>
        <w:ind w:left="105" w:leftChars="50" w:right="105" w:rightChars="50"/>
        <w:jc w:val="distribute"/>
        <w:textAlignment w:val="center"/>
        <w:outlineLvl w:val="9"/>
        <w:rPr>
          <w:rFonts w:hint="default" w:ascii="Times New Roman" w:hAnsi="Times New Roman" w:cs="Times New Roman" w:eastAsiaTheme="majorEastAsia"/>
          <w:sz w:val="44"/>
          <w:szCs w:val="44"/>
          <w:lang w:val="en-US" w:eastAsia="zh-CN"/>
        </w:rPr>
      </w:pPr>
    </w:p>
    <w:p w14:paraId="557C7B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lang w:eastAsia="zh-CN"/>
        </w:rPr>
      </w:pPr>
    </w:p>
    <w:p w14:paraId="36E3D6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关于</w:t>
      </w:r>
      <w:r>
        <w:rPr>
          <w:rFonts w:hint="default" w:ascii="Times New Roman" w:hAnsi="Times New Roman" w:eastAsia="方正小标宋简体" w:cs="Times New Roman"/>
          <w:b w:val="0"/>
          <w:bCs w:val="0"/>
          <w:sz w:val="44"/>
          <w:szCs w:val="44"/>
          <w:lang w:val="en-US" w:eastAsia="zh-CN"/>
        </w:rPr>
        <w:t>印发</w:t>
      </w:r>
      <w:r>
        <w:rPr>
          <w:rFonts w:hint="eastAsia" w:ascii="Times New Roman" w:hAnsi="Times New Roman" w:eastAsia="方正小标宋简体" w:cs="Times New Roman"/>
          <w:b w:val="0"/>
          <w:bCs w:val="0"/>
          <w:sz w:val="44"/>
          <w:szCs w:val="44"/>
          <w:lang w:val="en-US" w:eastAsia="zh-CN"/>
        </w:rPr>
        <w:t>薛城区应急管理局</w:t>
      </w:r>
      <w:r>
        <w:rPr>
          <w:rFonts w:hint="default" w:ascii="Times New Roman" w:hAnsi="Times New Roman" w:eastAsia="方正小标宋简体" w:cs="Times New Roman"/>
          <w:b w:val="0"/>
          <w:bCs w:val="0"/>
          <w:sz w:val="44"/>
          <w:szCs w:val="44"/>
          <w:lang w:val="en-US" w:eastAsia="zh-CN"/>
        </w:rPr>
        <w:t>202</w:t>
      </w:r>
      <w:r>
        <w:rPr>
          <w:rFonts w:hint="eastAsia" w:ascii="Times New Roman" w:hAnsi="Times New Roman" w:eastAsia="方正小标宋简体" w:cs="Times New Roman"/>
          <w:b w:val="0"/>
          <w:bCs w:val="0"/>
          <w:sz w:val="44"/>
          <w:szCs w:val="44"/>
          <w:lang w:val="en-US" w:eastAsia="zh-CN"/>
        </w:rPr>
        <w:t>5</w:t>
      </w:r>
      <w:r>
        <w:rPr>
          <w:rFonts w:hint="default" w:ascii="Times New Roman" w:hAnsi="Times New Roman" w:eastAsia="方正小标宋简体" w:cs="Times New Roman"/>
          <w:b w:val="0"/>
          <w:bCs w:val="0"/>
          <w:sz w:val="44"/>
          <w:szCs w:val="44"/>
          <w:lang w:val="en-US" w:eastAsia="zh-CN"/>
        </w:rPr>
        <w:t>年</w:t>
      </w:r>
      <w:r>
        <w:rPr>
          <w:rFonts w:hint="eastAsia" w:ascii="Times New Roman" w:hAnsi="Times New Roman" w:eastAsia="方正小标宋简体" w:cs="Times New Roman"/>
          <w:b w:val="0"/>
          <w:bCs w:val="0"/>
          <w:sz w:val="44"/>
          <w:szCs w:val="44"/>
          <w:lang w:val="en-US" w:eastAsia="zh-CN"/>
        </w:rPr>
        <w:t>度</w:t>
      </w:r>
      <w:r>
        <w:rPr>
          <w:rFonts w:hint="default" w:ascii="Times New Roman" w:hAnsi="Times New Roman" w:eastAsia="方正小标宋简体" w:cs="Times New Roman"/>
          <w:b w:val="0"/>
          <w:bCs w:val="0"/>
          <w:sz w:val="44"/>
          <w:szCs w:val="44"/>
          <w:lang w:val="en-US" w:eastAsia="zh-CN"/>
        </w:rPr>
        <w:t>部门联合“双随机、一公开”暨跨部门综合监管抽查检查计划的通知</w:t>
      </w:r>
    </w:p>
    <w:p w14:paraId="7DC4BAA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lang w:val="en-US" w:eastAsia="zh-CN"/>
        </w:rPr>
      </w:pPr>
    </w:p>
    <w:p w14:paraId="42C00EE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rPr>
        <w:t>局属</w:t>
      </w:r>
      <w:r>
        <w:rPr>
          <w:rFonts w:hint="default" w:ascii="Times New Roman" w:hAnsi="Times New Roman" w:eastAsia="仿宋_GB2312" w:cs="Times New Roman"/>
          <w:sz w:val="32"/>
          <w:szCs w:val="32"/>
          <w:lang w:val="en-US" w:eastAsia="zh-CN"/>
        </w:rPr>
        <w:t>各室、应急管理综合行政执法大队、应急救援保障中心、</w:t>
      </w:r>
      <w:r>
        <w:rPr>
          <w:rFonts w:hint="default" w:ascii="Times New Roman" w:hAnsi="Times New Roman" w:eastAsia="仿宋_GB2312" w:cs="Times New Roman"/>
          <w:b w:val="0"/>
          <w:bCs w:val="0"/>
          <w:sz w:val="32"/>
          <w:szCs w:val="32"/>
          <w:lang w:val="en-US" w:eastAsia="zh-CN"/>
        </w:rPr>
        <w:t>各有关企业：</w:t>
      </w:r>
    </w:p>
    <w:p w14:paraId="09F26AF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按照薛城区“双随机、一公开”监管工作联席会议办公室《关于印发&lt;枣庄市薛城区2025年度部门联合“双随机、一公开”暨跨部门综合监管抽查检查计划&gt;的通知》的要求，制定</w:t>
      </w:r>
      <w:r>
        <w:rPr>
          <w:rFonts w:hint="default" w:ascii="Times New Roman" w:hAnsi="Times New Roman" w:eastAsia="仿宋_GB2312" w:cs="Times New Roman"/>
          <w:sz w:val="32"/>
          <w:szCs w:val="32"/>
          <w:lang w:val="en-US" w:eastAsia="zh-CN"/>
        </w:rPr>
        <w:t>《薛城区</w:t>
      </w:r>
      <w:r>
        <w:rPr>
          <w:rFonts w:hint="default" w:ascii="Times New Roman" w:hAnsi="Times New Roman" w:eastAsia="仿宋_GB2312" w:cs="Times New Roman"/>
          <w:b w:val="0"/>
          <w:bCs w:val="0"/>
          <w:sz w:val="32"/>
          <w:szCs w:val="32"/>
          <w:lang w:val="en-US" w:eastAsia="zh-CN"/>
        </w:rPr>
        <w:t>应急管理局</w:t>
      </w:r>
      <w:r>
        <w:rPr>
          <w:rFonts w:hint="default" w:ascii="Times New Roman" w:hAnsi="Times New Roman" w:eastAsia="仿宋_GB2312" w:cs="Times New Roman"/>
          <w:sz w:val="32"/>
          <w:szCs w:val="32"/>
          <w:lang w:val="en-US" w:eastAsia="zh-CN"/>
        </w:rPr>
        <w:t>2025年度部门联合“双随机、一公开”暨跨部门综合监管抽查检查计划》，</w:t>
      </w:r>
      <w:r>
        <w:rPr>
          <w:rFonts w:hint="default" w:ascii="Times New Roman" w:hAnsi="Times New Roman" w:eastAsia="仿宋_GB2312" w:cs="Times New Roman"/>
          <w:b w:val="0"/>
          <w:bCs w:val="0"/>
          <w:sz w:val="32"/>
          <w:szCs w:val="32"/>
          <w:lang w:val="en-US" w:eastAsia="zh-CN"/>
        </w:rPr>
        <w:t>现印发给你们，请认真执行。</w:t>
      </w:r>
    </w:p>
    <w:p w14:paraId="4002B5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bookmarkStart w:id="0" w:name="_GoBack"/>
      <w:bookmarkEnd w:id="0"/>
      <w:r>
        <w:rPr>
          <w:rFonts w:hint="default" w:ascii="Times New Roman" w:hAnsi="Times New Roman" w:eastAsia="仿宋_GB2312" w:cs="Times New Roman"/>
          <w:sz w:val="32"/>
          <w:szCs w:val="32"/>
          <w:lang w:val="en-US" w:eastAsia="zh-CN"/>
        </w:rPr>
        <w:t>薛城区应急管理局2025年度部门联合“双随机、一公开”暨跨部门综合监管抽查检查计划</w:t>
      </w:r>
    </w:p>
    <w:p w14:paraId="4F5DC6E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14:paraId="1736298D">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w:t>
      </w:r>
    </w:p>
    <w:p w14:paraId="16480E23">
      <w:pPr>
        <w:pStyle w:val="2"/>
        <w:ind w:left="0" w:leftChars="0" w:firstLine="0" w:firstLineChars="0"/>
        <w:rPr>
          <w:rFonts w:hint="default" w:ascii="Times New Roman" w:hAnsi="Times New Roman" w:eastAsia="仿宋" w:cs="Times New Roman"/>
          <w:sz w:val="32"/>
          <w:szCs w:val="32"/>
          <w:lang w:val="en-US" w:eastAsia="zh-CN"/>
        </w:rPr>
      </w:pPr>
    </w:p>
    <w:p w14:paraId="5640AF50">
      <w:pPr>
        <w:pStyle w:val="2"/>
        <w:ind w:left="0" w:leftChars="0" w:firstLine="0" w:firstLineChars="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附件1：</w:t>
      </w:r>
    </w:p>
    <w:p w14:paraId="140346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薛城区应急管理局2025年度部门联合“双随机、一公开”</w:t>
      </w:r>
    </w:p>
    <w:p w14:paraId="29C575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暨跨部门综合监管抽查检查计划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027"/>
        <w:gridCol w:w="1360"/>
        <w:gridCol w:w="746"/>
        <w:gridCol w:w="760"/>
        <w:gridCol w:w="1374"/>
        <w:gridCol w:w="1413"/>
        <w:gridCol w:w="3720"/>
        <w:gridCol w:w="1045"/>
        <w:gridCol w:w="875"/>
        <w:gridCol w:w="1187"/>
      </w:tblGrid>
      <w:tr w14:paraId="434E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5A9A7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027" w:type="dxa"/>
            <w:vAlign w:val="center"/>
          </w:tcPr>
          <w:p w14:paraId="158EAC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监管</w:t>
            </w:r>
            <w:r>
              <w:rPr>
                <w:rFonts w:hint="eastAsia" w:ascii="仿宋_GB2312" w:hAnsi="仿宋_GB2312" w:eastAsia="仿宋_GB2312" w:cs="仿宋_GB2312"/>
                <w:b/>
                <w:bCs/>
                <w:i w:val="0"/>
                <w:iCs w:val="0"/>
                <w:color w:val="000000"/>
                <w:kern w:val="0"/>
                <w:sz w:val="28"/>
                <w:szCs w:val="28"/>
                <w:u w:val="none"/>
                <w:lang w:val="en-US" w:eastAsia="zh-CN" w:bidi="ar"/>
              </w:rPr>
              <w:br w:type="textWrapping"/>
            </w:r>
            <w:r>
              <w:rPr>
                <w:rFonts w:hint="eastAsia" w:ascii="仿宋_GB2312" w:hAnsi="仿宋_GB2312" w:eastAsia="仿宋_GB2312" w:cs="仿宋_GB2312"/>
                <w:b/>
                <w:bCs/>
                <w:i w:val="0"/>
                <w:iCs w:val="0"/>
                <w:color w:val="000000"/>
                <w:kern w:val="0"/>
                <w:sz w:val="28"/>
                <w:szCs w:val="28"/>
                <w:u w:val="none"/>
                <w:lang w:val="en-US" w:eastAsia="zh-CN" w:bidi="ar"/>
              </w:rPr>
              <w:t>领域</w:t>
            </w:r>
          </w:p>
        </w:tc>
        <w:tc>
          <w:tcPr>
            <w:tcW w:w="1360" w:type="dxa"/>
            <w:vAlign w:val="center"/>
          </w:tcPr>
          <w:p w14:paraId="647A4F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联合监管</w:t>
            </w:r>
            <w:r>
              <w:rPr>
                <w:rFonts w:hint="eastAsia" w:ascii="仿宋_GB2312" w:hAnsi="仿宋_GB2312" w:eastAsia="仿宋_GB2312" w:cs="仿宋_GB2312"/>
                <w:b/>
                <w:bCs/>
                <w:i w:val="0"/>
                <w:iCs w:val="0"/>
                <w:color w:val="000000"/>
                <w:kern w:val="0"/>
                <w:sz w:val="28"/>
                <w:szCs w:val="28"/>
                <w:u w:val="none"/>
                <w:lang w:val="en-US" w:eastAsia="zh-CN" w:bidi="ar"/>
              </w:rPr>
              <w:br w:type="textWrapping"/>
            </w:r>
            <w:r>
              <w:rPr>
                <w:rFonts w:hint="eastAsia" w:ascii="仿宋_GB2312" w:hAnsi="仿宋_GB2312" w:eastAsia="仿宋_GB2312" w:cs="仿宋_GB2312"/>
                <w:b/>
                <w:bCs/>
                <w:i w:val="0"/>
                <w:iCs w:val="0"/>
                <w:color w:val="000000"/>
                <w:kern w:val="0"/>
                <w:sz w:val="28"/>
                <w:szCs w:val="28"/>
                <w:u w:val="none"/>
                <w:lang w:val="en-US" w:eastAsia="zh-CN" w:bidi="ar"/>
              </w:rPr>
              <w:t>事项</w:t>
            </w:r>
          </w:p>
        </w:tc>
        <w:tc>
          <w:tcPr>
            <w:tcW w:w="1506" w:type="dxa"/>
            <w:gridSpan w:val="2"/>
            <w:vAlign w:val="center"/>
          </w:tcPr>
          <w:p w14:paraId="0522E3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抽查检查</w:t>
            </w:r>
            <w:r>
              <w:rPr>
                <w:rFonts w:hint="eastAsia" w:ascii="仿宋_GB2312" w:hAnsi="仿宋_GB2312" w:eastAsia="仿宋_GB2312" w:cs="仿宋_GB2312"/>
                <w:b/>
                <w:bCs/>
                <w:i w:val="0"/>
                <w:iCs w:val="0"/>
                <w:color w:val="000000"/>
                <w:kern w:val="0"/>
                <w:sz w:val="28"/>
                <w:szCs w:val="28"/>
                <w:u w:val="none"/>
                <w:lang w:val="en-US" w:eastAsia="zh-CN" w:bidi="ar"/>
              </w:rPr>
              <w:br w:type="textWrapping"/>
            </w:r>
            <w:r>
              <w:rPr>
                <w:rFonts w:hint="eastAsia" w:ascii="仿宋_GB2312" w:hAnsi="仿宋_GB2312" w:eastAsia="仿宋_GB2312" w:cs="仿宋_GB2312"/>
                <w:b/>
                <w:bCs/>
                <w:i w:val="0"/>
                <w:iCs w:val="0"/>
                <w:color w:val="000000"/>
                <w:kern w:val="0"/>
                <w:sz w:val="28"/>
                <w:szCs w:val="28"/>
                <w:u w:val="none"/>
                <w:lang w:val="en-US" w:eastAsia="zh-CN" w:bidi="ar"/>
              </w:rPr>
              <w:t>部门</w:t>
            </w:r>
          </w:p>
        </w:tc>
        <w:tc>
          <w:tcPr>
            <w:tcW w:w="1374" w:type="dxa"/>
            <w:vAlign w:val="center"/>
          </w:tcPr>
          <w:p w14:paraId="6CCEF3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抽查检查事项</w:t>
            </w:r>
          </w:p>
        </w:tc>
        <w:tc>
          <w:tcPr>
            <w:tcW w:w="1413" w:type="dxa"/>
            <w:vAlign w:val="center"/>
          </w:tcPr>
          <w:p w14:paraId="58E522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抽查检查</w:t>
            </w:r>
            <w:r>
              <w:rPr>
                <w:rFonts w:hint="eastAsia" w:ascii="仿宋_GB2312" w:hAnsi="仿宋_GB2312" w:eastAsia="仿宋_GB2312" w:cs="仿宋_GB2312"/>
                <w:b/>
                <w:bCs/>
                <w:i w:val="0"/>
                <w:iCs w:val="0"/>
                <w:color w:val="000000"/>
                <w:kern w:val="0"/>
                <w:sz w:val="28"/>
                <w:szCs w:val="28"/>
                <w:u w:val="none"/>
                <w:lang w:val="en-US" w:eastAsia="zh-CN" w:bidi="ar"/>
              </w:rPr>
              <w:br w:type="textWrapping"/>
            </w:r>
            <w:r>
              <w:rPr>
                <w:rFonts w:hint="eastAsia" w:ascii="仿宋_GB2312" w:hAnsi="仿宋_GB2312" w:eastAsia="仿宋_GB2312" w:cs="仿宋_GB2312"/>
                <w:b/>
                <w:bCs/>
                <w:i w:val="0"/>
                <w:iCs w:val="0"/>
                <w:color w:val="000000"/>
                <w:kern w:val="0"/>
                <w:sz w:val="28"/>
                <w:szCs w:val="28"/>
                <w:u w:val="none"/>
                <w:lang w:val="en-US" w:eastAsia="zh-CN" w:bidi="ar"/>
              </w:rPr>
              <w:t>对象</w:t>
            </w:r>
          </w:p>
        </w:tc>
        <w:tc>
          <w:tcPr>
            <w:tcW w:w="3720" w:type="dxa"/>
            <w:vAlign w:val="center"/>
          </w:tcPr>
          <w:p w14:paraId="5EC985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抽查检查内容</w:t>
            </w:r>
          </w:p>
        </w:tc>
        <w:tc>
          <w:tcPr>
            <w:tcW w:w="1045" w:type="dxa"/>
            <w:vAlign w:val="center"/>
          </w:tcPr>
          <w:p w14:paraId="0679D8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抽查比例</w:t>
            </w:r>
          </w:p>
        </w:tc>
        <w:tc>
          <w:tcPr>
            <w:tcW w:w="875" w:type="dxa"/>
            <w:vAlign w:val="center"/>
          </w:tcPr>
          <w:p w14:paraId="5DC6DC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抽查频次</w:t>
            </w:r>
          </w:p>
        </w:tc>
        <w:tc>
          <w:tcPr>
            <w:tcW w:w="1187" w:type="dxa"/>
            <w:vAlign w:val="center"/>
          </w:tcPr>
          <w:p w14:paraId="0268DD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抽查检查时间</w:t>
            </w:r>
          </w:p>
        </w:tc>
      </w:tr>
      <w:tr w14:paraId="5AF5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667" w:type="dxa"/>
            <w:vMerge w:val="restart"/>
            <w:vAlign w:val="center"/>
          </w:tcPr>
          <w:p w14:paraId="4456E85E">
            <w:pPr>
              <w:tabs>
                <w:tab w:val="left" w:pos="675"/>
              </w:tabs>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027" w:type="dxa"/>
            <w:vMerge w:val="restart"/>
            <w:vAlign w:val="center"/>
          </w:tcPr>
          <w:p w14:paraId="0993B35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危险化学品企业安全生产管理情况的检查</w:t>
            </w:r>
          </w:p>
        </w:tc>
        <w:tc>
          <w:tcPr>
            <w:tcW w:w="1360" w:type="dxa"/>
            <w:vMerge w:val="restart"/>
            <w:vAlign w:val="center"/>
          </w:tcPr>
          <w:p w14:paraId="69F7047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对一般危险化学品生产、储存、经营的行政检查</w:t>
            </w:r>
          </w:p>
        </w:tc>
        <w:tc>
          <w:tcPr>
            <w:tcW w:w="746" w:type="dxa"/>
            <w:vAlign w:val="center"/>
          </w:tcPr>
          <w:p w14:paraId="40C078C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发起部门</w:t>
            </w:r>
          </w:p>
        </w:tc>
        <w:tc>
          <w:tcPr>
            <w:tcW w:w="760" w:type="dxa"/>
            <w:vAlign w:val="center"/>
          </w:tcPr>
          <w:p w14:paraId="4B76D50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应急管理部门</w:t>
            </w:r>
          </w:p>
        </w:tc>
        <w:tc>
          <w:tcPr>
            <w:tcW w:w="1374" w:type="dxa"/>
            <w:vAlign w:val="center"/>
          </w:tcPr>
          <w:p w14:paraId="23E0CFA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对一般危险化学品生产、储存、经营的行政检查</w:t>
            </w:r>
          </w:p>
        </w:tc>
        <w:tc>
          <w:tcPr>
            <w:tcW w:w="1413" w:type="dxa"/>
            <w:vMerge w:val="restart"/>
            <w:vAlign w:val="center"/>
          </w:tcPr>
          <w:p w14:paraId="3C410206">
            <w:pPr>
              <w:pStyle w:val="2"/>
              <w:keepNext w:val="0"/>
              <w:keepLines w:val="0"/>
              <w:pageBreakBefore w:val="0"/>
              <w:widowControl/>
              <w:kinsoku/>
              <w:wordWrap/>
              <w:overflowPunct/>
              <w:topLinePunct w:val="0"/>
              <w:autoSpaceDE/>
              <w:autoSpaceDN/>
              <w:bidi w:val="0"/>
              <w:adjustRightInd/>
              <w:snapToGrid/>
              <w:spacing w:line="260" w:lineRule="exact"/>
              <w:jc w:val="both"/>
              <w:rPr>
                <w:rFonts w:hint="eastAsia" w:ascii="仿宋_GB2312" w:hAnsi="仿宋_GB2312" w:eastAsia="仿宋_GB2312" w:cs="仿宋_GB2312"/>
                <w:sz w:val="21"/>
                <w:szCs w:val="21"/>
                <w:vertAlign w:val="baseline"/>
                <w:lang w:val="en-US" w:eastAsia="zh-CN"/>
              </w:rPr>
            </w:pPr>
          </w:p>
          <w:p w14:paraId="4DB7E169">
            <w:pPr>
              <w:keepNext w:val="0"/>
              <w:keepLines w:val="0"/>
              <w:pageBreakBefore w:val="0"/>
              <w:widowControl/>
              <w:kinsoku/>
              <w:wordWrap/>
              <w:overflowPunct/>
              <w:topLinePunct w:val="0"/>
              <w:autoSpaceDE/>
              <w:autoSpaceDN/>
              <w:bidi w:val="0"/>
              <w:adjustRightInd/>
              <w:snapToGrid/>
              <w:spacing w:line="260" w:lineRule="exact"/>
              <w:jc w:val="both"/>
              <w:rPr>
                <w:rFonts w:hint="eastAsia" w:ascii="仿宋_GB2312" w:hAnsi="仿宋_GB2312" w:eastAsia="仿宋_GB2312" w:cs="仿宋_GB2312"/>
                <w:sz w:val="21"/>
                <w:szCs w:val="21"/>
                <w:lang w:val="en-US" w:eastAsia="zh-CN"/>
              </w:rPr>
            </w:pPr>
          </w:p>
          <w:p w14:paraId="28E9F581">
            <w:pPr>
              <w:keepNext w:val="0"/>
              <w:keepLines w:val="0"/>
              <w:pageBreakBefore w:val="0"/>
              <w:widowControl/>
              <w:kinsoku/>
              <w:wordWrap/>
              <w:overflowPunct/>
              <w:topLinePunct w:val="0"/>
              <w:autoSpaceDE/>
              <w:autoSpaceDN/>
              <w:bidi w:val="0"/>
              <w:adjustRightInd/>
              <w:snapToGrid/>
              <w:spacing w:line="260" w:lineRule="exact"/>
              <w:jc w:val="both"/>
              <w:rPr>
                <w:rFonts w:hint="eastAsia" w:ascii="仿宋_GB2312" w:hAnsi="仿宋_GB2312" w:eastAsia="仿宋_GB2312" w:cs="仿宋_GB2312"/>
                <w:sz w:val="21"/>
                <w:szCs w:val="21"/>
                <w:lang w:val="en-US" w:eastAsia="zh-CN"/>
              </w:rPr>
            </w:pPr>
          </w:p>
          <w:p w14:paraId="73C74B2A">
            <w:pPr>
              <w:keepNext w:val="0"/>
              <w:keepLines w:val="0"/>
              <w:pageBreakBefore w:val="0"/>
              <w:widowControl/>
              <w:kinsoku/>
              <w:wordWrap/>
              <w:overflowPunct/>
              <w:topLinePunct w:val="0"/>
              <w:autoSpaceDE/>
              <w:autoSpaceDN/>
              <w:bidi w:val="0"/>
              <w:adjustRightInd/>
              <w:snapToGrid/>
              <w:spacing w:line="260" w:lineRule="exact"/>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危险化学品生产、储存、经营单位</w:t>
            </w:r>
          </w:p>
        </w:tc>
        <w:tc>
          <w:tcPr>
            <w:tcW w:w="3720" w:type="dxa"/>
            <w:vAlign w:val="center"/>
          </w:tcPr>
          <w:p w14:paraId="6DB9C1F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安全生产许可情况；履行建设项目安全设施“三同时”情况；企业主要负责人、安全管理人员安全生产教育情况；安全生产规章制度、操作规程建立情况；经营和储存场所、设施、建筑物符合相关国家标准、行业标准情况；编制事故应急预案并进行演练情况；外包工程管理情况；劳动防护用品佩戴和使用情况。</w:t>
            </w:r>
          </w:p>
        </w:tc>
        <w:tc>
          <w:tcPr>
            <w:tcW w:w="1045" w:type="dxa"/>
            <w:vMerge w:val="restart"/>
            <w:vAlign w:val="center"/>
          </w:tcPr>
          <w:p w14:paraId="695E3AD9">
            <w:pPr>
              <w:pStyle w:val="2"/>
              <w:ind w:left="0" w:leftChars="0" w:firstLine="0" w:firstLineChars="0"/>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0%</w:t>
            </w:r>
          </w:p>
        </w:tc>
        <w:tc>
          <w:tcPr>
            <w:tcW w:w="875" w:type="dxa"/>
            <w:vMerge w:val="restart"/>
            <w:vAlign w:val="center"/>
          </w:tcPr>
          <w:p w14:paraId="05340065">
            <w:pPr>
              <w:pStyle w:val="2"/>
              <w:ind w:left="0" w:leftChars="0" w:firstLine="0" w:firstLine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1次</w:t>
            </w:r>
          </w:p>
        </w:tc>
        <w:tc>
          <w:tcPr>
            <w:tcW w:w="1187" w:type="dxa"/>
            <w:vMerge w:val="restart"/>
            <w:vAlign w:val="center"/>
          </w:tcPr>
          <w:p w14:paraId="54B1B7E5">
            <w:pPr>
              <w:pStyle w:val="2"/>
              <w:ind w:left="0" w:leftChars="0" w:firstLine="0" w:firstLineChars="0"/>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6月-11月</w:t>
            </w:r>
          </w:p>
        </w:tc>
      </w:tr>
      <w:tr w14:paraId="0674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7" w:type="dxa"/>
            <w:vMerge w:val="continue"/>
          </w:tcPr>
          <w:p w14:paraId="25CFD207">
            <w:pPr>
              <w:pStyle w:val="2"/>
              <w:rPr>
                <w:rFonts w:hint="eastAsia" w:ascii="仿宋_GB2312" w:hAnsi="仿宋_GB2312" w:eastAsia="仿宋_GB2312" w:cs="仿宋_GB2312"/>
                <w:sz w:val="21"/>
                <w:szCs w:val="21"/>
                <w:vertAlign w:val="baseline"/>
                <w:lang w:val="en-US" w:eastAsia="zh-CN"/>
              </w:rPr>
            </w:pPr>
          </w:p>
        </w:tc>
        <w:tc>
          <w:tcPr>
            <w:tcW w:w="1027" w:type="dxa"/>
            <w:vMerge w:val="continue"/>
            <w:vAlign w:val="center"/>
          </w:tcPr>
          <w:p w14:paraId="5FCA3AC4">
            <w:pPr>
              <w:pStyle w:val="2"/>
              <w:keepNext w:val="0"/>
              <w:keepLines w:val="0"/>
              <w:pageBreakBefore w:val="0"/>
              <w:widowControl/>
              <w:kinsoku/>
              <w:wordWrap/>
              <w:overflowPunct/>
              <w:topLinePunct w:val="0"/>
              <w:autoSpaceDE/>
              <w:autoSpaceDN/>
              <w:bidi w:val="0"/>
              <w:adjustRightInd/>
              <w:snapToGrid/>
              <w:spacing w:line="260" w:lineRule="exact"/>
              <w:jc w:val="both"/>
              <w:rPr>
                <w:rFonts w:hint="eastAsia" w:ascii="仿宋_GB2312" w:hAnsi="仿宋_GB2312" w:eastAsia="仿宋_GB2312" w:cs="仿宋_GB2312"/>
                <w:sz w:val="21"/>
                <w:szCs w:val="21"/>
                <w:vertAlign w:val="baseline"/>
                <w:lang w:val="en-US" w:eastAsia="zh-CN"/>
              </w:rPr>
            </w:pPr>
          </w:p>
        </w:tc>
        <w:tc>
          <w:tcPr>
            <w:tcW w:w="1360" w:type="dxa"/>
            <w:vMerge w:val="continue"/>
            <w:vAlign w:val="center"/>
          </w:tcPr>
          <w:p w14:paraId="6172E083">
            <w:pPr>
              <w:pStyle w:val="2"/>
              <w:keepNext w:val="0"/>
              <w:keepLines w:val="0"/>
              <w:pageBreakBefore w:val="0"/>
              <w:widowControl/>
              <w:kinsoku/>
              <w:wordWrap/>
              <w:overflowPunct/>
              <w:topLinePunct w:val="0"/>
              <w:autoSpaceDE/>
              <w:autoSpaceDN/>
              <w:bidi w:val="0"/>
              <w:adjustRightInd/>
              <w:snapToGrid/>
              <w:spacing w:line="260" w:lineRule="exact"/>
              <w:jc w:val="both"/>
              <w:rPr>
                <w:rFonts w:hint="eastAsia" w:ascii="仿宋_GB2312" w:hAnsi="仿宋_GB2312" w:eastAsia="仿宋_GB2312" w:cs="仿宋_GB2312"/>
                <w:sz w:val="21"/>
                <w:szCs w:val="21"/>
                <w:vertAlign w:val="baseline"/>
                <w:lang w:val="en-US" w:eastAsia="zh-CN"/>
              </w:rPr>
            </w:pPr>
          </w:p>
        </w:tc>
        <w:tc>
          <w:tcPr>
            <w:tcW w:w="746" w:type="dxa"/>
            <w:vMerge w:val="restart"/>
            <w:vAlign w:val="center"/>
          </w:tcPr>
          <w:p w14:paraId="685CFE0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配合部门</w:t>
            </w:r>
          </w:p>
        </w:tc>
        <w:tc>
          <w:tcPr>
            <w:tcW w:w="760" w:type="dxa"/>
            <w:vMerge w:val="restart"/>
            <w:vAlign w:val="center"/>
          </w:tcPr>
          <w:p w14:paraId="46111B2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气象部门</w:t>
            </w:r>
          </w:p>
        </w:tc>
        <w:tc>
          <w:tcPr>
            <w:tcW w:w="1374" w:type="dxa"/>
            <w:vMerge w:val="restart"/>
            <w:vAlign w:val="center"/>
          </w:tcPr>
          <w:p w14:paraId="4F936A1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雷电防护重点单位的安全检查</w:t>
            </w:r>
          </w:p>
        </w:tc>
        <w:tc>
          <w:tcPr>
            <w:tcW w:w="1413" w:type="dxa"/>
            <w:vMerge w:val="continue"/>
            <w:vAlign w:val="center"/>
          </w:tcPr>
          <w:p w14:paraId="272E82A1">
            <w:pPr>
              <w:pStyle w:val="2"/>
              <w:keepNext w:val="0"/>
              <w:keepLines w:val="0"/>
              <w:pageBreakBefore w:val="0"/>
              <w:widowControl/>
              <w:kinsoku/>
              <w:wordWrap/>
              <w:overflowPunct/>
              <w:topLinePunct w:val="0"/>
              <w:autoSpaceDE/>
              <w:autoSpaceDN/>
              <w:bidi w:val="0"/>
              <w:adjustRightInd/>
              <w:snapToGrid/>
              <w:spacing w:line="260" w:lineRule="exact"/>
              <w:jc w:val="both"/>
              <w:rPr>
                <w:rFonts w:hint="eastAsia" w:ascii="仿宋_GB2312" w:hAnsi="仿宋_GB2312" w:eastAsia="仿宋_GB2312" w:cs="仿宋_GB2312"/>
                <w:sz w:val="21"/>
                <w:szCs w:val="21"/>
                <w:vertAlign w:val="baseline"/>
                <w:lang w:val="en-US" w:eastAsia="zh-CN"/>
              </w:rPr>
            </w:pPr>
          </w:p>
        </w:tc>
        <w:tc>
          <w:tcPr>
            <w:tcW w:w="3720" w:type="dxa"/>
            <w:vAlign w:val="center"/>
          </w:tcPr>
          <w:p w14:paraId="01D9A3C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雷电防护装置设计审核和竣工验收情况。</w:t>
            </w:r>
          </w:p>
        </w:tc>
        <w:tc>
          <w:tcPr>
            <w:tcW w:w="1045" w:type="dxa"/>
            <w:vMerge w:val="continue"/>
          </w:tcPr>
          <w:p w14:paraId="470FC4CF">
            <w:pPr>
              <w:pStyle w:val="2"/>
              <w:rPr>
                <w:rFonts w:hint="default"/>
                <w:vertAlign w:val="baseline"/>
                <w:lang w:val="en-US" w:eastAsia="zh-CN"/>
              </w:rPr>
            </w:pPr>
          </w:p>
        </w:tc>
        <w:tc>
          <w:tcPr>
            <w:tcW w:w="875" w:type="dxa"/>
            <w:vMerge w:val="continue"/>
          </w:tcPr>
          <w:p w14:paraId="49C7C6FC">
            <w:pPr>
              <w:pStyle w:val="2"/>
              <w:rPr>
                <w:rFonts w:hint="default"/>
                <w:vertAlign w:val="baseline"/>
                <w:lang w:val="en-US" w:eastAsia="zh-CN"/>
              </w:rPr>
            </w:pPr>
          </w:p>
        </w:tc>
        <w:tc>
          <w:tcPr>
            <w:tcW w:w="1187" w:type="dxa"/>
            <w:vMerge w:val="continue"/>
          </w:tcPr>
          <w:p w14:paraId="0FA5EF95">
            <w:pPr>
              <w:pStyle w:val="2"/>
              <w:rPr>
                <w:rFonts w:hint="default"/>
                <w:vertAlign w:val="baseline"/>
                <w:lang w:val="en-US" w:eastAsia="zh-CN"/>
              </w:rPr>
            </w:pPr>
          </w:p>
        </w:tc>
      </w:tr>
      <w:tr w14:paraId="7F7D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7" w:type="dxa"/>
            <w:vMerge w:val="continue"/>
          </w:tcPr>
          <w:p w14:paraId="2EF44913">
            <w:pPr>
              <w:pStyle w:val="2"/>
              <w:rPr>
                <w:rFonts w:hint="eastAsia" w:ascii="仿宋_GB2312" w:hAnsi="仿宋_GB2312" w:eastAsia="仿宋_GB2312" w:cs="仿宋_GB2312"/>
                <w:sz w:val="21"/>
                <w:szCs w:val="21"/>
                <w:vertAlign w:val="baseline"/>
                <w:lang w:val="en-US" w:eastAsia="zh-CN"/>
              </w:rPr>
            </w:pPr>
          </w:p>
        </w:tc>
        <w:tc>
          <w:tcPr>
            <w:tcW w:w="1027" w:type="dxa"/>
            <w:vMerge w:val="continue"/>
            <w:vAlign w:val="center"/>
          </w:tcPr>
          <w:p w14:paraId="0B4F5486">
            <w:pPr>
              <w:pStyle w:val="2"/>
              <w:keepNext w:val="0"/>
              <w:keepLines w:val="0"/>
              <w:pageBreakBefore w:val="0"/>
              <w:widowControl/>
              <w:kinsoku/>
              <w:wordWrap/>
              <w:overflowPunct/>
              <w:topLinePunct w:val="0"/>
              <w:autoSpaceDE/>
              <w:autoSpaceDN/>
              <w:bidi w:val="0"/>
              <w:adjustRightInd/>
              <w:snapToGrid/>
              <w:spacing w:line="260" w:lineRule="exact"/>
              <w:jc w:val="both"/>
              <w:rPr>
                <w:rFonts w:hint="eastAsia" w:ascii="仿宋_GB2312" w:hAnsi="仿宋_GB2312" w:eastAsia="仿宋_GB2312" w:cs="仿宋_GB2312"/>
                <w:sz w:val="21"/>
                <w:szCs w:val="21"/>
                <w:vertAlign w:val="baseline"/>
                <w:lang w:val="en-US" w:eastAsia="zh-CN"/>
              </w:rPr>
            </w:pPr>
          </w:p>
        </w:tc>
        <w:tc>
          <w:tcPr>
            <w:tcW w:w="1360" w:type="dxa"/>
            <w:vMerge w:val="continue"/>
            <w:vAlign w:val="center"/>
          </w:tcPr>
          <w:p w14:paraId="05D220D0">
            <w:pPr>
              <w:pStyle w:val="2"/>
              <w:keepNext w:val="0"/>
              <w:keepLines w:val="0"/>
              <w:pageBreakBefore w:val="0"/>
              <w:widowControl/>
              <w:kinsoku/>
              <w:wordWrap/>
              <w:overflowPunct/>
              <w:topLinePunct w:val="0"/>
              <w:autoSpaceDE/>
              <w:autoSpaceDN/>
              <w:bidi w:val="0"/>
              <w:adjustRightInd/>
              <w:snapToGrid/>
              <w:spacing w:line="260" w:lineRule="exact"/>
              <w:jc w:val="both"/>
              <w:rPr>
                <w:rFonts w:hint="eastAsia" w:ascii="仿宋_GB2312" w:hAnsi="仿宋_GB2312" w:eastAsia="仿宋_GB2312" w:cs="仿宋_GB2312"/>
                <w:sz w:val="21"/>
                <w:szCs w:val="21"/>
                <w:vertAlign w:val="baseline"/>
                <w:lang w:val="en-US" w:eastAsia="zh-CN"/>
              </w:rPr>
            </w:pPr>
          </w:p>
        </w:tc>
        <w:tc>
          <w:tcPr>
            <w:tcW w:w="746" w:type="dxa"/>
            <w:vMerge w:val="continue"/>
            <w:vAlign w:val="center"/>
          </w:tcPr>
          <w:p w14:paraId="78FA34C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760" w:type="dxa"/>
            <w:vMerge w:val="continue"/>
            <w:vAlign w:val="center"/>
          </w:tcPr>
          <w:p w14:paraId="0AD65C4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374" w:type="dxa"/>
            <w:vMerge w:val="continue"/>
            <w:vAlign w:val="center"/>
          </w:tcPr>
          <w:p w14:paraId="004C1BA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13" w:type="dxa"/>
            <w:vMerge w:val="continue"/>
            <w:vAlign w:val="center"/>
          </w:tcPr>
          <w:p w14:paraId="045089A4">
            <w:pPr>
              <w:pStyle w:val="2"/>
              <w:keepNext w:val="0"/>
              <w:keepLines w:val="0"/>
              <w:pageBreakBefore w:val="0"/>
              <w:widowControl/>
              <w:kinsoku/>
              <w:wordWrap/>
              <w:overflowPunct/>
              <w:topLinePunct w:val="0"/>
              <w:autoSpaceDE/>
              <w:autoSpaceDN/>
              <w:bidi w:val="0"/>
              <w:adjustRightInd/>
              <w:snapToGrid/>
              <w:spacing w:line="260" w:lineRule="exact"/>
              <w:jc w:val="both"/>
              <w:rPr>
                <w:rFonts w:hint="eastAsia" w:ascii="仿宋_GB2312" w:hAnsi="仿宋_GB2312" w:eastAsia="仿宋_GB2312" w:cs="仿宋_GB2312"/>
                <w:sz w:val="21"/>
                <w:szCs w:val="21"/>
                <w:vertAlign w:val="baseline"/>
                <w:lang w:val="en-US" w:eastAsia="zh-CN"/>
              </w:rPr>
            </w:pPr>
          </w:p>
        </w:tc>
        <w:tc>
          <w:tcPr>
            <w:tcW w:w="3720" w:type="dxa"/>
            <w:vAlign w:val="center"/>
          </w:tcPr>
          <w:p w14:paraId="49239F3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防雷安全管理、雷电防护装置安全现状及检测维护情况。</w:t>
            </w:r>
          </w:p>
        </w:tc>
        <w:tc>
          <w:tcPr>
            <w:tcW w:w="1045" w:type="dxa"/>
            <w:vMerge w:val="continue"/>
          </w:tcPr>
          <w:p w14:paraId="29ECDB6B">
            <w:pPr>
              <w:pStyle w:val="2"/>
              <w:rPr>
                <w:rFonts w:hint="default"/>
                <w:vertAlign w:val="baseline"/>
                <w:lang w:val="en-US" w:eastAsia="zh-CN"/>
              </w:rPr>
            </w:pPr>
          </w:p>
        </w:tc>
        <w:tc>
          <w:tcPr>
            <w:tcW w:w="875" w:type="dxa"/>
            <w:vMerge w:val="continue"/>
          </w:tcPr>
          <w:p w14:paraId="4D2F037F">
            <w:pPr>
              <w:pStyle w:val="2"/>
              <w:rPr>
                <w:rFonts w:hint="default"/>
                <w:vertAlign w:val="baseline"/>
                <w:lang w:val="en-US" w:eastAsia="zh-CN"/>
              </w:rPr>
            </w:pPr>
          </w:p>
        </w:tc>
        <w:tc>
          <w:tcPr>
            <w:tcW w:w="1187" w:type="dxa"/>
            <w:vMerge w:val="continue"/>
          </w:tcPr>
          <w:p w14:paraId="2A99F8F2">
            <w:pPr>
              <w:pStyle w:val="2"/>
              <w:rPr>
                <w:rFonts w:hint="default"/>
                <w:vertAlign w:val="baseline"/>
                <w:lang w:val="en-US" w:eastAsia="zh-CN"/>
              </w:rPr>
            </w:pPr>
          </w:p>
        </w:tc>
      </w:tr>
      <w:tr w14:paraId="7F94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667" w:type="dxa"/>
            <w:vMerge w:val="continue"/>
          </w:tcPr>
          <w:p w14:paraId="4E802B63">
            <w:pPr>
              <w:pStyle w:val="2"/>
              <w:rPr>
                <w:rFonts w:hint="eastAsia" w:ascii="仿宋_GB2312" w:hAnsi="仿宋_GB2312" w:eastAsia="仿宋_GB2312" w:cs="仿宋_GB2312"/>
                <w:sz w:val="21"/>
                <w:szCs w:val="21"/>
                <w:vertAlign w:val="baseline"/>
                <w:lang w:val="en-US" w:eastAsia="zh-CN"/>
              </w:rPr>
            </w:pPr>
          </w:p>
        </w:tc>
        <w:tc>
          <w:tcPr>
            <w:tcW w:w="1027" w:type="dxa"/>
            <w:vMerge w:val="continue"/>
            <w:vAlign w:val="center"/>
          </w:tcPr>
          <w:p w14:paraId="06FC5A14">
            <w:pPr>
              <w:pStyle w:val="2"/>
              <w:keepNext w:val="0"/>
              <w:keepLines w:val="0"/>
              <w:pageBreakBefore w:val="0"/>
              <w:widowControl/>
              <w:kinsoku/>
              <w:wordWrap/>
              <w:overflowPunct/>
              <w:topLinePunct w:val="0"/>
              <w:autoSpaceDE/>
              <w:autoSpaceDN/>
              <w:bidi w:val="0"/>
              <w:adjustRightInd/>
              <w:snapToGrid/>
              <w:spacing w:line="260" w:lineRule="exact"/>
              <w:jc w:val="both"/>
              <w:rPr>
                <w:rFonts w:hint="eastAsia" w:ascii="仿宋_GB2312" w:hAnsi="仿宋_GB2312" w:eastAsia="仿宋_GB2312" w:cs="仿宋_GB2312"/>
                <w:sz w:val="21"/>
                <w:szCs w:val="21"/>
                <w:vertAlign w:val="baseline"/>
                <w:lang w:val="en-US" w:eastAsia="zh-CN"/>
              </w:rPr>
            </w:pPr>
          </w:p>
        </w:tc>
        <w:tc>
          <w:tcPr>
            <w:tcW w:w="1360" w:type="dxa"/>
            <w:vMerge w:val="continue"/>
            <w:vAlign w:val="center"/>
          </w:tcPr>
          <w:p w14:paraId="5148A025">
            <w:pPr>
              <w:pStyle w:val="2"/>
              <w:keepNext w:val="0"/>
              <w:keepLines w:val="0"/>
              <w:pageBreakBefore w:val="0"/>
              <w:widowControl/>
              <w:kinsoku/>
              <w:wordWrap/>
              <w:overflowPunct/>
              <w:topLinePunct w:val="0"/>
              <w:autoSpaceDE/>
              <w:autoSpaceDN/>
              <w:bidi w:val="0"/>
              <w:adjustRightInd/>
              <w:snapToGrid/>
              <w:spacing w:line="260" w:lineRule="exact"/>
              <w:jc w:val="both"/>
              <w:rPr>
                <w:rFonts w:hint="eastAsia" w:ascii="仿宋_GB2312" w:hAnsi="仿宋_GB2312" w:eastAsia="仿宋_GB2312" w:cs="仿宋_GB2312"/>
                <w:sz w:val="21"/>
                <w:szCs w:val="21"/>
                <w:vertAlign w:val="baseline"/>
                <w:lang w:val="en-US" w:eastAsia="zh-CN"/>
              </w:rPr>
            </w:pPr>
          </w:p>
        </w:tc>
        <w:tc>
          <w:tcPr>
            <w:tcW w:w="746" w:type="dxa"/>
            <w:vAlign w:val="center"/>
          </w:tcPr>
          <w:p w14:paraId="3D70795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配合部门</w:t>
            </w:r>
          </w:p>
        </w:tc>
        <w:tc>
          <w:tcPr>
            <w:tcW w:w="760" w:type="dxa"/>
            <w:vAlign w:val="center"/>
          </w:tcPr>
          <w:p w14:paraId="497C74A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应急管理部门</w:t>
            </w:r>
          </w:p>
        </w:tc>
        <w:tc>
          <w:tcPr>
            <w:tcW w:w="1374" w:type="dxa"/>
            <w:vAlign w:val="center"/>
          </w:tcPr>
          <w:p w14:paraId="2C3FBF2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对抗震设防要求的行政检查</w:t>
            </w:r>
          </w:p>
        </w:tc>
        <w:tc>
          <w:tcPr>
            <w:tcW w:w="1413" w:type="dxa"/>
            <w:vMerge w:val="continue"/>
            <w:vAlign w:val="center"/>
          </w:tcPr>
          <w:p w14:paraId="13FDB344">
            <w:pPr>
              <w:pStyle w:val="2"/>
              <w:keepNext w:val="0"/>
              <w:keepLines w:val="0"/>
              <w:pageBreakBefore w:val="0"/>
              <w:widowControl/>
              <w:kinsoku/>
              <w:wordWrap/>
              <w:overflowPunct/>
              <w:topLinePunct w:val="0"/>
              <w:autoSpaceDE/>
              <w:autoSpaceDN/>
              <w:bidi w:val="0"/>
              <w:adjustRightInd/>
              <w:snapToGrid/>
              <w:spacing w:line="260" w:lineRule="exact"/>
              <w:jc w:val="both"/>
              <w:rPr>
                <w:rFonts w:hint="eastAsia" w:ascii="仿宋_GB2312" w:hAnsi="仿宋_GB2312" w:eastAsia="仿宋_GB2312" w:cs="仿宋_GB2312"/>
                <w:sz w:val="21"/>
                <w:szCs w:val="21"/>
                <w:vertAlign w:val="baseline"/>
                <w:lang w:val="en-US" w:eastAsia="zh-CN"/>
              </w:rPr>
            </w:pPr>
          </w:p>
        </w:tc>
        <w:tc>
          <w:tcPr>
            <w:tcW w:w="3720" w:type="dxa"/>
            <w:vAlign w:val="center"/>
          </w:tcPr>
          <w:p w14:paraId="59BD3DA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大中型化工和石油化工生产企业的主要装置及其控制系统的建筑是否依法取得重大工程抗震设防要求许可，是否依法开展地震安全性评价。</w:t>
            </w:r>
          </w:p>
        </w:tc>
        <w:tc>
          <w:tcPr>
            <w:tcW w:w="1045" w:type="dxa"/>
            <w:vMerge w:val="continue"/>
          </w:tcPr>
          <w:p w14:paraId="6B7B1E29">
            <w:pPr>
              <w:pStyle w:val="2"/>
              <w:rPr>
                <w:rFonts w:hint="default"/>
                <w:vertAlign w:val="baseline"/>
                <w:lang w:val="en-US" w:eastAsia="zh-CN"/>
              </w:rPr>
            </w:pPr>
          </w:p>
        </w:tc>
        <w:tc>
          <w:tcPr>
            <w:tcW w:w="875" w:type="dxa"/>
            <w:vMerge w:val="continue"/>
          </w:tcPr>
          <w:p w14:paraId="0432E6F3">
            <w:pPr>
              <w:pStyle w:val="2"/>
              <w:rPr>
                <w:rFonts w:hint="default"/>
                <w:vertAlign w:val="baseline"/>
                <w:lang w:val="en-US" w:eastAsia="zh-CN"/>
              </w:rPr>
            </w:pPr>
          </w:p>
        </w:tc>
        <w:tc>
          <w:tcPr>
            <w:tcW w:w="1187" w:type="dxa"/>
            <w:vMerge w:val="continue"/>
          </w:tcPr>
          <w:p w14:paraId="27032FAC">
            <w:pPr>
              <w:pStyle w:val="2"/>
              <w:rPr>
                <w:rFonts w:hint="default"/>
                <w:vertAlign w:val="baseline"/>
                <w:lang w:val="en-US" w:eastAsia="zh-CN"/>
              </w:rPr>
            </w:pPr>
          </w:p>
        </w:tc>
      </w:tr>
      <w:tr w14:paraId="7706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67" w:type="dxa"/>
            <w:vMerge w:val="restart"/>
            <w:vAlign w:val="center"/>
          </w:tcPr>
          <w:p w14:paraId="1C3BEBC4">
            <w:pPr>
              <w:tabs>
                <w:tab w:val="left" w:pos="675"/>
              </w:tabs>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2</w:t>
            </w:r>
          </w:p>
        </w:tc>
        <w:tc>
          <w:tcPr>
            <w:tcW w:w="1027" w:type="dxa"/>
            <w:vMerge w:val="restart"/>
            <w:vAlign w:val="center"/>
          </w:tcPr>
          <w:p w14:paraId="6E0759A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易制毒化学品企业专项抽查</w:t>
            </w:r>
          </w:p>
        </w:tc>
        <w:tc>
          <w:tcPr>
            <w:tcW w:w="1360" w:type="dxa"/>
            <w:vMerge w:val="restart"/>
            <w:vAlign w:val="center"/>
          </w:tcPr>
          <w:p w14:paraId="39AE0F3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易制毒化学品企业专项抽查</w:t>
            </w:r>
          </w:p>
        </w:tc>
        <w:tc>
          <w:tcPr>
            <w:tcW w:w="746" w:type="dxa"/>
            <w:vAlign w:val="center"/>
          </w:tcPr>
          <w:p w14:paraId="34D58D1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发起部门</w:t>
            </w:r>
          </w:p>
        </w:tc>
        <w:tc>
          <w:tcPr>
            <w:tcW w:w="760" w:type="dxa"/>
            <w:vAlign w:val="center"/>
          </w:tcPr>
          <w:p w14:paraId="366799D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应急管理部门</w:t>
            </w:r>
          </w:p>
        </w:tc>
        <w:tc>
          <w:tcPr>
            <w:tcW w:w="1374" w:type="dxa"/>
            <w:vAlign w:val="center"/>
          </w:tcPr>
          <w:p w14:paraId="7B0BB8D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对非药品类易制毒化学品经营的行政检查</w:t>
            </w:r>
          </w:p>
        </w:tc>
        <w:tc>
          <w:tcPr>
            <w:tcW w:w="1413" w:type="dxa"/>
            <w:vMerge w:val="restart"/>
            <w:vAlign w:val="center"/>
          </w:tcPr>
          <w:p w14:paraId="57C1FD4E">
            <w:pPr>
              <w:pStyle w:val="2"/>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一、二类非药品类易制毒化学品生产经营企业</w:t>
            </w:r>
          </w:p>
        </w:tc>
        <w:tc>
          <w:tcPr>
            <w:tcW w:w="3720" w:type="dxa"/>
            <w:vAlign w:val="center"/>
          </w:tcPr>
          <w:p w14:paraId="18092B3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非药品类易制毒化学品许可、备案制度的执行情况；非药品类易制毒化学品管理制度的建立和落实情况；非药品类易制毒化学品销售情况；非药品类易制毒化学品教育培训情况。</w:t>
            </w:r>
          </w:p>
        </w:tc>
        <w:tc>
          <w:tcPr>
            <w:tcW w:w="1045" w:type="dxa"/>
            <w:vMerge w:val="restart"/>
            <w:vAlign w:val="center"/>
          </w:tcPr>
          <w:p w14:paraId="730FFC82">
            <w:pPr>
              <w:pStyle w:val="2"/>
              <w:ind w:left="0" w:leftChars="0" w:firstLine="0" w:firstLineChars="0"/>
              <w:jc w:val="center"/>
              <w:rPr>
                <w:rFonts w:hint="default"/>
                <w:vertAlign w:val="baseline"/>
                <w:lang w:val="en-US"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0%</w:t>
            </w:r>
          </w:p>
        </w:tc>
        <w:tc>
          <w:tcPr>
            <w:tcW w:w="875" w:type="dxa"/>
            <w:vMerge w:val="restart"/>
            <w:vAlign w:val="center"/>
          </w:tcPr>
          <w:p w14:paraId="58C3F89F">
            <w:pPr>
              <w:pStyle w:val="2"/>
              <w:ind w:left="0" w:leftChars="0" w:firstLine="0" w:firstLine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1次</w:t>
            </w:r>
          </w:p>
        </w:tc>
        <w:tc>
          <w:tcPr>
            <w:tcW w:w="1187" w:type="dxa"/>
            <w:vMerge w:val="restart"/>
            <w:vAlign w:val="center"/>
          </w:tcPr>
          <w:p w14:paraId="1661C0F1">
            <w:pPr>
              <w:pStyle w:val="2"/>
              <w:ind w:left="0" w:leftChars="0" w:firstLine="0" w:firstLineChars="0"/>
              <w:jc w:val="center"/>
              <w:rPr>
                <w:rFonts w:hint="default"/>
                <w:vertAlign w:val="baseline"/>
                <w:lang w:val="en-US" w:eastAsia="zh-CN"/>
              </w:rPr>
            </w:pPr>
            <w:r>
              <w:rPr>
                <w:rFonts w:hint="eastAsia" w:ascii="仿宋_GB2312" w:hAnsi="仿宋_GB2312" w:eastAsia="仿宋_GB2312" w:cs="仿宋_GB2312"/>
                <w:vertAlign w:val="baseline"/>
                <w:lang w:val="en-US" w:eastAsia="zh-CN"/>
              </w:rPr>
              <w:t>6月-11月</w:t>
            </w:r>
          </w:p>
        </w:tc>
      </w:tr>
      <w:tr w14:paraId="5B6C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67" w:type="dxa"/>
            <w:vMerge w:val="continue"/>
          </w:tcPr>
          <w:p w14:paraId="0F5527A5">
            <w:pPr>
              <w:pStyle w:val="2"/>
              <w:rPr>
                <w:rFonts w:hint="eastAsia" w:ascii="仿宋_GB2312" w:hAnsi="仿宋_GB2312" w:eastAsia="仿宋_GB2312" w:cs="仿宋_GB2312"/>
                <w:sz w:val="21"/>
                <w:szCs w:val="21"/>
                <w:vertAlign w:val="baseline"/>
                <w:lang w:val="en-US" w:eastAsia="zh-CN"/>
              </w:rPr>
            </w:pPr>
          </w:p>
        </w:tc>
        <w:tc>
          <w:tcPr>
            <w:tcW w:w="1027" w:type="dxa"/>
            <w:vMerge w:val="continue"/>
            <w:vAlign w:val="center"/>
          </w:tcPr>
          <w:p w14:paraId="208C0F03">
            <w:pPr>
              <w:pStyle w:val="2"/>
              <w:keepNext w:val="0"/>
              <w:keepLines w:val="0"/>
              <w:pageBreakBefore w:val="0"/>
              <w:widowControl/>
              <w:kinsoku/>
              <w:wordWrap/>
              <w:overflowPunct/>
              <w:topLinePunct w:val="0"/>
              <w:autoSpaceDE/>
              <w:autoSpaceDN/>
              <w:bidi w:val="0"/>
              <w:adjustRightInd/>
              <w:snapToGrid/>
              <w:spacing w:line="260" w:lineRule="exact"/>
              <w:jc w:val="both"/>
              <w:rPr>
                <w:rFonts w:hint="eastAsia" w:ascii="仿宋_GB2312" w:hAnsi="仿宋_GB2312" w:eastAsia="仿宋_GB2312" w:cs="仿宋_GB2312"/>
                <w:sz w:val="21"/>
                <w:szCs w:val="21"/>
                <w:vertAlign w:val="baseline"/>
                <w:lang w:val="en-US" w:eastAsia="zh-CN"/>
              </w:rPr>
            </w:pPr>
          </w:p>
        </w:tc>
        <w:tc>
          <w:tcPr>
            <w:tcW w:w="1360" w:type="dxa"/>
            <w:vMerge w:val="continue"/>
            <w:vAlign w:val="center"/>
          </w:tcPr>
          <w:p w14:paraId="4278D206">
            <w:pPr>
              <w:pStyle w:val="2"/>
              <w:keepNext w:val="0"/>
              <w:keepLines w:val="0"/>
              <w:pageBreakBefore w:val="0"/>
              <w:widowControl/>
              <w:kinsoku/>
              <w:wordWrap/>
              <w:overflowPunct/>
              <w:topLinePunct w:val="0"/>
              <w:autoSpaceDE/>
              <w:autoSpaceDN/>
              <w:bidi w:val="0"/>
              <w:adjustRightInd/>
              <w:snapToGrid/>
              <w:spacing w:line="260" w:lineRule="exact"/>
              <w:jc w:val="both"/>
              <w:rPr>
                <w:rFonts w:hint="eastAsia" w:ascii="仿宋_GB2312" w:hAnsi="仿宋_GB2312" w:eastAsia="仿宋_GB2312" w:cs="仿宋_GB2312"/>
                <w:sz w:val="21"/>
                <w:szCs w:val="21"/>
                <w:vertAlign w:val="baseline"/>
                <w:lang w:val="en-US" w:eastAsia="zh-CN"/>
              </w:rPr>
            </w:pPr>
          </w:p>
        </w:tc>
        <w:tc>
          <w:tcPr>
            <w:tcW w:w="746" w:type="dxa"/>
            <w:vAlign w:val="center"/>
          </w:tcPr>
          <w:p w14:paraId="5194B30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配合部门</w:t>
            </w:r>
          </w:p>
        </w:tc>
        <w:tc>
          <w:tcPr>
            <w:tcW w:w="760" w:type="dxa"/>
            <w:vAlign w:val="center"/>
          </w:tcPr>
          <w:p w14:paraId="3C4BBC6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公安部门</w:t>
            </w:r>
          </w:p>
        </w:tc>
        <w:tc>
          <w:tcPr>
            <w:tcW w:w="1374" w:type="dxa"/>
            <w:vAlign w:val="center"/>
          </w:tcPr>
          <w:p w14:paraId="133705D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易制毒化学品企业专项抽查</w:t>
            </w:r>
          </w:p>
        </w:tc>
        <w:tc>
          <w:tcPr>
            <w:tcW w:w="1413" w:type="dxa"/>
            <w:vMerge w:val="continue"/>
            <w:vAlign w:val="center"/>
          </w:tcPr>
          <w:p w14:paraId="16C27C48">
            <w:pPr>
              <w:pStyle w:val="2"/>
              <w:keepNext w:val="0"/>
              <w:keepLines w:val="0"/>
              <w:pageBreakBefore w:val="0"/>
              <w:widowControl/>
              <w:kinsoku/>
              <w:wordWrap/>
              <w:overflowPunct/>
              <w:topLinePunct w:val="0"/>
              <w:autoSpaceDE/>
              <w:autoSpaceDN/>
              <w:bidi w:val="0"/>
              <w:adjustRightInd/>
              <w:snapToGrid/>
              <w:spacing w:line="260" w:lineRule="exact"/>
              <w:jc w:val="both"/>
              <w:rPr>
                <w:rFonts w:hint="eastAsia" w:ascii="仿宋_GB2312" w:hAnsi="仿宋_GB2312" w:eastAsia="仿宋_GB2312" w:cs="仿宋_GB2312"/>
                <w:sz w:val="21"/>
                <w:szCs w:val="21"/>
                <w:vertAlign w:val="baseline"/>
                <w:lang w:val="en-US" w:eastAsia="zh-CN"/>
              </w:rPr>
            </w:pPr>
          </w:p>
        </w:tc>
        <w:tc>
          <w:tcPr>
            <w:tcW w:w="3720" w:type="dxa"/>
            <w:vAlign w:val="center"/>
          </w:tcPr>
          <w:p w14:paraId="2D73683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抽查易制毒化学品的购买、运输许可（备案）的执行情况。</w:t>
            </w:r>
          </w:p>
        </w:tc>
        <w:tc>
          <w:tcPr>
            <w:tcW w:w="1045" w:type="dxa"/>
            <w:vMerge w:val="continue"/>
          </w:tcPr>
          <w:p w14:paraId="1B3FB602">
            <w:pPr>
              <w:pStyle w:val="2"/>
              <w:rPr>
                <w:rFonts w:hint="default"/>
                <w:vertAlign w:val="baseline"/>
                <w:lang w:val="en-US" w:eastAsia="zh-CN"/>
              </w:rPr>
            </w:pPr>
          </w:p>
        </w:tc>
        <w:tc>
          <w:tcPr>
            <w:tcW w:w="875" w:type="dxa"/>
            <w:vMerge w:val="continue"/>
          </w:tcPr>
          <w:p w14:paraId="23D1648E">
            <w:pPr>
              <w:pStyle w:val="2"/>
              <w:rPr>
                <w:rFonts w:hint="default"/>
                <w:vertAlign w:val="baseline"/>
                <w:lang w:val="en-US" w:eastAsia="zh-CN"/>
              </w:rPr>
            </w:pPr>
          </w:p>
        </w:tc>
        <w:tc>
          <w:tcPr>
            <w:tcW w:w="1187" w:type="dxa"/>
            <w:vMerge w:val="continue"/>
          </w:tcPr>
          <w:p w14:paraId="5F2F2D56">
            <w:pPr>
              <w:pStyle w:val="2"/>
              <w:rPr>
                <w:rFonts w:hint="default"/>
                <w:vertAlign w:val="baseline"/>
                <w:lang w:val="en-US" w:eastAsia="zh-CN"/>
              </w:rPr>
            </w:pPr>
          </w:p>
        </w:tc>
      </w:tr>
      <w:tr w14:paraId="18A8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667" w:type="dxa"/>
            <w:vMerge w:val="restart"/>
            <w:vAlign w:val="center"/>
          </w:tcPr>
          <w:p w14:paraId="2E7A135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027" w:type="dxa"/>
            <w:vMerge w:val="restart"/>
            <w:vAlign w:val="center"/>
          </w:tcPr>
          <w:p w14:paraId="65D07A1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烟花爆竹经营单位安全生产管理情况检查</w:t>
            </w:r>
          </w:p>
        </w:tc>
        <w:tc>
          <w:tcPr>
            <w:tcW w:w="1360" w:type="dxa"/>
            <w:vMerge w:val="restart"/>
            <w:vAlign w:val="center"/>
          </w:tcPr>
          <w:p w14:paraId="351547C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对烟花爆竹批发、零售单位的行政检查</w:t>
            </w:r>
          </w:p>
        </w:tc>
        <w:tc>
          <w:tcPr>
            <w:tcW w:w="746" w:type="dxa"/>
            <w:vAlign w:val="center"/>
          </w:tcPr>
          <w:p w14:paraId="70784FE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发起部门</w:t>
            </w:r>
          </w:p>
        </w:tc>
        <w:tc>
          <w:tcPr>
            <w:tcW w:w="760" w:type="dxa"/>
            <w:vAlign w:val="center"/>
          </w:tcPr>
          <w:p w14:paraId="4C2D896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应急管理部门</w:t>
            </w:r>
          </w:p>
        </w:tc>
        <w:tc>
          <w:tcPr>
            <w:tcW w:w="1374" w:type="dxa"/>
            <w:vAlign w:val="center"/>
          </w:tcPr>
          <w:p w14:paraId="0F84D50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对烟花爆竹批发、零售单位的行政检查</w:t>
            </w:r>
          </w:p>
        </w:tc>
        <w:tc>
          <w:tcPr>
            <w:tcW w:w="1413" w:type="dxa"/>
            <w:vMerge w:val="restart"/>
            <w:vAlign w:val="center"/>
          </w:tcPr>
          <w:p w14:paraId="10B0C0F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p>
          <w:p w14:paraId="2C30B71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p>
          <w:p w14:paraId="7276A84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p>
          <w:p w14:paraId="238714E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p>
          <w:p w14:paraId="4E7EBCA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default" w:ascii="仿宋_GB2312" w:hAnsi="仿宋_GB2312" w:eastAsia="仿宋_GB2312" w:cs="仿宋_GB2312"/>
                <w:i w:val="0"/>
                <w:iCs w:val="0"/>
                <w:color w:val="000000"/>
                <w:kern w:val="0"/>
                <w:sz w:val="21"/>
                <w:szCs w:val="21"/>
                <w:u w:val="none"/>
                <w:lang w:val="en-US" w:eastAsia="zh-CN" w:bidi="ar"/>
              </w:rPr>
              <w:t>烟花爆竹经营企业</w:t>
            </w:r>
          </w:p>
        </w:tc>
        <w:tc>
          <w:tcPr>
            <w:tcW w:w="3720" w:type="dxa"/>
            <w:vAlign w:val="center"/>
          </w:tcPr>
          <w:p w14:paraId="4F59D03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安全许可证取得并保持情况；安全生产有关制度设置及落实情况。</w:t>
            </w:r>
          </w:p>
        </w:tc>
        <w:tc>
          <w:tcPr>
            <w:tcW w:w="1045" w:type="dxa"/>
            <w:vMerge w:val="restart"/>
            <w:vAlign w:val="center"/>
          </w:tcPr>
          <w:p w14:paraId="396B608A">
            <w:pPr>
              <w:pStyle w:val="2"/>
              <w:ind w:left="0" w:leftChars="0" w:firstLine="0" w:firstLineChars="0"/>
              <w:jc w:val="center"/>
              <w:rPr>
                <w:rFonts w:hint="default"/>
                <w:vertAlign w:val="baseline"/>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0%</w:t>
            </w:r>
          </w:p>
        </w:tc>
        <w:tc>
          <w:tcPr>
            <w:tcW w:w="875" w:type="dxa"/>
            <w:vMerge w:val="restart"/>
            <w:vAlign w:val="center"/>
          </w:tcPr>
          <w:p w14:paraId="799E3E8D">
            <w:pPr>
              <w:pStyle w:val="2"/>
              <w:ind w:left="0" w:leftChars="0" w:firstLine="0" w:firstLine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1次</w:t>
            </w:r>
          </w:p>
        </w:tc>
        <w:tc>
          <w:tcPr>
            <w:tcW w:w="1187" w:type="dxa"/>
            <w:vMerge w:val="restart"/>
            <w:vAlign w:val="center"/>
          </w:tcPr>
          <w:p w14:paraId="14D3A292">
            <w:pPr>
              <w:pStyle w:val="2"/>
              <w:ind w:left="0" w:leftChars="0" w:firstLine="0" w:firstLineChars="0"/>
              <w:jc w:val="center"/>
              <w:rPr>
                <w:rFonts w:hint="default"/>
                <w:vertAlign w:val="baseline"/>
                <w:lang w:val="en-US" w:eastAsia="zh-CN"/>
              </w:rPr>
            </w:pPr>
            <w:r>
              <w:rPr>
                <w:rFonts w:hint="eastAsia" w:ascii="仿宋_GB2312" w:hAnsi="仿宋_GB2312" w:eastAsia="仿宋_GB2312" w:cs="仿宋_GB2312"/>
                <w:vertAlign w:val="baseline"/>
                <w:lang w:val="en-US" w:eastAsia="zh-CN"/>
              </w:rPr>
              <w:t>6月-11月</w:t>
            </w:r>
          </w:p>
        </w:tc>
      </w:tr>
      <w:tr w14:paraId="09A0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667" w:type="dxa"/>
            <w:vMerge w:val="continue"/>
          </w:tcPr>
          <w:p w14:paraId="4CE3368C">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27" w:type="dxa"/>
            <w:vMerge w:val="continue"/>
            <w:vAlign w:val="center"/>
          </w:tcPr>
          <w:p w14:paraId="1820FE2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p>
        </w:tc>
        <w:tc>
          <w:tcPr>
            <w:tcW w:w="1360" w:type="dxa"/>
            <w:vMerge w:val="continue"/>
            <w:vAlign w:val="center"/>
          </w:tcPr>
          <w:p w14:paraId="0A62C82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p>
        </w:tc>
        <w:tc>
          <w:tcPr>
            <w:tcW w:w="746" w:type="dxa"/>
            <w:vAlign w:val="center"/>
          </w:tcPr>
          <w:p w14:paraId="129D1EA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配合部门</w:t>
            </w:r>
          </w:p>
        </w:tc>
        <w:tc>
          <w:tcPr>
            <w:tcW w:w="760" w:type="dxa"/>
            <w:vAlign w:val="center"/>
          </w:tcPr>
          <w:p w14:paraId="59C175F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公安部门</w:t>
            </w:r>
          </w:p>
        </w:tc>
        <w:tc>
          <w:tcPr>
            <w:tcW w:w="1374" w:type="dxa"/>
            <w:vAlign w:val="center"/>
          </w:tcPr>
          <w:p w14:paraId="1B605A7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烟花爆竹经营单位安全生产管理情况检查</w:t>
            </w:r>
          </w:p>
        </w:tc>
        <w:tc>
          <w:tcPr>
            <w:tcW w:w="1413" w:type="dxa"/>
            <w:vMerge w:val="continue"/>
            <w:vAlign w:val="center"/>
          </w:tcPr>
          <w:p w14:paraId="4552F5B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p>
        </w:tc>
        <w:tc>
          <w:tcPr>
            <w:tcW w:w="3720" w:type="dxa"/>
            <w:vAlign w:val="center"/>
          </w:tcPr>
          <w:p w14:paraId="7052268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烟花爆竹道路运输许可办理情况。</w:t>
            </w:r>
          </w:p>
        </w:tc>
        <w:tc>
          <w:tcPr>
            <w:tcW w:w="1045" w:type="dxa"/>
            <w:vMerge w:val="continue"/>
          </w:tcPr>
          <w:p w14:paraId="58EF8413">
            <w:pPr>
              <w:pStyle w:val="2"/>
              <w:rPr>
                <w:rFonts w:hint="default"/>
                <w:vertAlign w:val="baseline"/>
                <w:lang w:val="en-US" w:eastAsia="zh-CN"/>
              </w:rPr>
            </w:pPr>
          </w:p>
        </w:tc>
        <w:tc>
          <w:tcPr>
            <w:tcW w:w="875" w:type="dxa"/>
            <w:vMerge w:val="continue"/>
          </w:tcPr>
          <w:p w14:paraId="08DBA18F">
            <w:pPr>
              <w:pStyle w:val="2"/>
              <w:rPr>
                <w:rFonts w:hint="default"/>
                <w:vertAlign w:val="baseline"/>
                <w:lang w:val="en-US" w:eastAsia="zh-CN"/>
              </w:rPr>
            </w:pPr>
          </w:p>
        </w:tc>
        <w:tc>
          <w:tcPr>
            <w:tcW w:w="1187" w:type="dxa"/>
            <w:vMerge w:val="continue"/>
          </w:tcPr>
          <w:p w14:paraId="17CD5B87">
            <w:pPr>
              <w:pStyle w:val="2"/>
              <w:rPr>
                <w:rFonts w:hint="default"/>
                <w:vertAlign w:val="baseline"/>
                <w:lang w:val="en-US" w:eastAsia="zh-CN"/>
              </w:rPr>
            </w:pPr>
          </w:p>
        </w:tc>
      </w:tr>
      <w:tr w14:paraId="482C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67" w:type="dxa"/>
            <w:vMerge w:val="continue"/>
          </w:tcPr>
          <w:p w14:paraId="6E0832B9">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27" w:type="dxa"/>
            <w:vMerge w:val="continue"/>
            <w:vAlign w:val="center"/>
          </w:tcPr>
          <w:p w14:paraId="3A00942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p>
        </w:tc>
        <w:tc>
          <w:tcPr>
            <w:tcW w:w="1360" w:type="dxa"/>
            <w:vMerge w:val="continue"/>
            <w:vAlign w:val="center"/>
          </w:tcPr>
          <w:p w14:paraId="4F4F86D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p>
        </w:tc>
        <w:tc>
          <w:tcPr>
            <w:tcW w:w="746" w:type="dxa"/>
            <w:vMerge w:val="restart"/>
            <w:vAlign w:val="center"/>
          </w:tcPr>
          <w:p w14:paraId="4B59576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配合部门</w:t>
            </w:r>
          </w:p>
        </w:tc>
        <w:tc>
          <w:tcPr>
            <w:tcW w:w="760" w:type="dxa"/>
            <w:vMerge w:val="restart"/>
            <w:vAlign w:val="center"/>
          </w:tcPr>
          <w:p w14:paraId="2CC269E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气象部门</w:t>
            </w:r>
          </w:p>
        </w:tc>
        <w:tc>
          <w:tcPr>
            <w:tcW w:w="1374" w:type="dxa"/>
            <w:vMerge w:val="restart"/>
            <w:vAlign w:val="center"/>
          </w:tcPr>
          <w:p w14:paraId="47C43D6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雷电防护重点单位的安全检查</w:t>
            </w:r>
          </w:p>
        </w:tc>
        <w:tc>
          <w:tcPr>
            <w:tcW w:w="1413" w:type="dxa"/>
            <w:vMerge w:val="continue"/>
            <w:vAlign w:val="center"/>
          </w:tcPr>
          <w:p w14:paraId="4075D14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p>
        </w:tc>
        <w:tc>
          <w:tcPr>
            <w:tcW w:w="3720" w:type="dxa"/>
            <w:vAlign w:val="center"/>
          </w:tcPr>
          <w:p w14:paraId="721180E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雷电防护装置设计审核和竣工验收情况。</w:t>
            </w:r>
          </w:p>
        </w:tc>
        <w:tc>
          <w:tcPr>
            <w:tcW w:w="1045" w:type="dxa"/>
            <w:vMerge w:val="continue"/>
          </w:tcPr>
          <w:p w14:paraId="6CB2A248">
            <w:pPr>
              <w:pStyle w:val="2"/>
              <w:rPr>
                <w:rFonts w:hint="default"/>
                <w:vertAlign w:val="baseline"/>
                <w:lang w:val="en-US" w:eastAsia="zh-CN"/>
              </w:rPr>
            </w:pPr>
          </w:p>
        </w:tc>
        <w:tc>
          <w:tcPr>
            <w:tcW w:w="875" w:type="dxa"/>
            <w:vMerge w:val="continue"/>
          </w:tcPr>
          <w:p w14:paraId="3921FA42">
            <w:pPr>
              <w:pStyle w:val="2"/>
              <w:rPr>
                <w:rFonts w:hint="default"/>
                <w:vertAlign w:val="baseline"/>
                <w:lang w:val="en-US" w:eastAsia="zh-CN"/>
              </w:rPr>
            </w:pPr>
          </w:p>
        </w:tc>
        <w:tc>
          <w:tcPr>
            <w:tcW w:w="1187" w:type="dxa"/>
            <w:vMerge w:val="continue"/>
          </w:tcPr>
          <w:p w14:paraId="2CCB0BBB">
            <w:pPr>
              <w:pStyle w:val="2"/>
              <w:rPr>
                <w:rFonts w:hint="default"/>
                <w:vertAlign w:val="baseline"/>
                <w:lang w:val="en-US" w:eastAsia="zh-CN"/>
              </w:rPr>
            </w:pPr>
          </w:p>
        </w:tc>
      </w:tr>
      <w:tr w14:paraId="0884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7" w:type="dxa"/>
            <w:vMerge w:val="continue"/>
          </w:tcPr>
          <w:p w14:paraId="1FFE8067">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27" w:type="dxa"/>
            <w:vMerge w:val="continue"/>
            <w:vAlign w:val="center"/>
          </w:tcPr>
          <w:p w14:paraId="2315B3E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p>
        </w:tc>
        <w:tc>
          <w:tcPr>
            <w:tcW w:w="1360" w:type="dxa"/>
            <w:vMerge w:val="continue"/>
            <w:vAlign w:val="center"/>
          </w:tcPr>
          <w:p w14:paraId="6283168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p>
        </w:tc>
        <w:tc>
          <w:tcPr>
            <w:tcW w:w="746" w:type="dxa"/>
            <w:vMerge w:val="continue"/>
            <w:vAlign w:val="center"/>
          </w:tcPr>
          <w:p w14:paraId="5946E7C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760" w:type="dxa"/>
            <w:vMerge w:val="continue"/>
            <w:vAlign w:val="center"/>
          </w:tcPr>
          <w:p w14:paraId="39BD13F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374" w:type="dxa"/>
            <w:vMerge w:val="continue"/>
            <w:vAlign w:val="center"/>
          </w:tcPr>
          <w:p w14:paraId="769C4F8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413" w:type="dxa"/>
            <w:vMerge w:val="continue"/>
            <w:vAlign w:val="center"/>
          </w:tcPr>
          <w:p w14:paraId="652C465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p>
        </w:tc>
        <w:tc>
          <w:tcPr>
            <w:tcW w:w="3720" w:type="dxa"/>
            <w:vAlign w:val="center"/>
          </w:tcPr>
          <w:p w14:paraId="52A3F22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防雷安全管理、雷电防护装置安全现状及检测维护情况。</w:t>
            </w:r>
          </w:p>
        </w:tc>
        <w:tc>
          <w:tcPr>
            <w:tcW w:w="1045" w:type="dxa"/>
            <w:vMerge w:val="continue"/>
          </w:tcPr>
          <w:p w14:paraId="4DFA1E7A">
            <w:pPr>
              <w:pStyle w:val="2"/>
              <w:rPr>
                <w:rFonts w:hint="default"/>
                <w:vertAlign w:val="baseline"/>
                <w:lang w:val="en-US" w:eastAsia="zh-CN"/>
              </w:rPr>
            </w:pPr>
          </w:p>
        </w:tc>
        <w:tc>
          <w:tcPr>
            <w:tcW w:w="875" w:type="dxa"/>
            <w:vMerge w:val="continue"/>
          </w:tcPr>
          <w:p w14:paraId="677EB2C1">
            <w:pPr>
              <w:pStyle w:val="2"/>
              <w:rPr>
                <w:rFonts w:hint="default"/>
                <w:vertAlign w:val="baseline"/>
                <w:lang w:val="en-US" w:eastAsia="zh-CN"/>
              </w:rPr>
            </w:pPr>
          </w:p>
        </w:tc>
        <w:tc>
          <w:tcPr>
            <w:tcW w:w="1187" w:type="dxa"/>
            <w:vMerge w:val="continue"/>
          </w:tcPr>
          <w:p w14:paraId="04F6C3FB">
            <w:pPr>
              <w:pStyle w:val="2"/>
              <w:rPr>
                <w:rFonts w:hint="default"/>
                <w:vertAlign w:val="baseline"/>
                <w:lang w:val="en-US" w:eastAsia="zh-CN"/>
              </w:rPr>
            </w:pPr>
          </w:p>
        </w:tc>
      </w:tr>
      <w:tr w14:paraId="56E2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667" w:type="dxa"/>
            <w:vMerge w:val="restart"/>
            <w:vAlign w:val="center"/>
          </w:tcPr>
          <w:p w14:paraId="707B3D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027" w:type="dxa"/>
            <w:vMerge w:val="restart"/>
            <w:vAlign w:val="center"/>
          </w:tcPr>
          <w:p w14:paraId="33C0307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危险化学品相关监管领域</w:t>
            </w:r>
          </w:p>
        </w:tc>
        <w:tc>
          <w:tcPr>
            <w:tcW w:w="1360" w:type="dxa"/>
            <w:vMerge w:val="restart"/>
            <w:vAlign w:val="center"/>
          </w:tcPr>
          <w:p w14:paraId="626FA45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危险化学品重大危险源跨部门综合监管</w:t>
            </w:r>
          </w:p>
        </w:tc>
        <w:tc>
          <w:tcPr>
            <w:tcW w:w="746" w:type="dxa"/>
            <w:vAlign w:val="center"/>
          </w:tcPr>
          <w:p w14:paraId="1F2C55E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发起部门</w:t>
            </w:r>
          </w:p>
        </w:tc>
        <w:tc>
          <w:tcPr>
            <w:tcW w:w="760" w:type="dxa"/>
            <w:vAlign w:val="center"/>
          </w:tcPr>
          <w:p w14:paraId="48A77BE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应急管理部门</w:t>
            </w:r>
          </w:p>
        </w:tc>
        <w:tc>
          <w:tcPr>
            <w:tcW w:w="1374" w:type="dxa"/>
            <w:vAlign w:val="center"/>
          </w:tcPr>
          <w:p w14:paraId="292FBBA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对危险化学品重大危险源的监督检查</w:t>
            </w:r>
          </w:p>
        </w:tc>
        <w:tc>
          <w:tcPr>
            <w:tcW w:w="1413" w:type="dxa"/>
            <w:vMerge w:val="restart"/>
            <w:vAlign w:val="center"/>
          </w:tcPr>
          <w:p w14:paraId="1B123BE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default" w:ascii="仿宋_GB2312" w:hAnsi="仿宋_GB2312" w:eastAsia="仿宋_GB2312" w:cs="仿宋_GB2312"/>
                <w:i w:val="0"/>
                <w:iCs w:val="0"/>
                <w:color w:val="000000"/>
                <w:kern w:val="0"/>
                <w:sz w:val="21"/>
                <w:szCs w:val="21"/>
                <w:u w:val="none"/>
                <w:lang w:val="en-US" w:eastAsia="zh-CN" w:bidi="ar"/>
              </w:rPr>
              <w:t>危险化学品重大危险源企业</w:t>
            </w:r>
          </w:p>
        </w:tc>
        <w:tc>
          <w:tcPr>
            <w:tcW w:w="3720" w:type="dxa"/>
            <w:vAlign w:val="center"/>
          </w:tcPr>
          <w:p w14:paraId="385FAFE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加强对存在重大危险源的危险化学品单位的监督检查，督促危险化学品单位做好重大危险源的辨识、安全评估及分级、登记建档、备案、监测监控、事故应急预案编制、核销和安全管理工作。</w:t>
            </w:r>
          </w:p>
        </w:tc>
        <w:tc>
          <w:tcPr>
            <w:tcW w:w="1045" w:type="dxa"/>
            <w:vMerge w:val="restart"/>
            <w:vAlign w:val="center"/>
          </w:tcPr>
          <w:p w14:paraId="45050D33">
            <w:pPr>
              <w:pStyle w:val="2"/>
              <w:ind w:left="0" w:leftChars="0" w:firstLine="0" w:firstLineChars="0"/>
              <w:jc w:val="center"/>
              <w:rPr>
                <w:rFonts w:hint="default"/>
                <w:vertAlign w:val="baseline"/>
                <w:lang w:val="en-US"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0%</w:t>
            </w:r>
          </w:p>
        </w:tc>
        <w:tc>
          <w:tcPr>
            <w:tcW w:w="875" w:type="dxa"/>
            <w:vMerge w:val="restart"/>
            <w:vAlign w:val="center"/>
          </w:tcPr>
          <w:p w14:paraId="7D74CA48">
            <w:pPr>
              <w:pStyle w:val="2"/>
              <w:ind w:left="0" w:leftChars="0" w:firstLine="0" w:firstLine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1次</w:t>
            </w:r>
          </w:p>
        </w:tc>
        <w:tc>
          <w:tcPr>
            <w:tcW w:w="1187" w:type="dxa"/>
            <w:vMerge w:val="restart"/>
            <w:vAlign w:val="center"/>
          </w:tcPr>
          <w:p w14:paraId="7E597B62">
            <w:pPr>
              <w:pStyle w:val="2"/>
              <w:ind w:left="0" w:leftChars="0" w:firstLine="0" w:firstLineChars="0"/>
              <w:jc w:val="center"/>
              <w:rPr>
                <w:rFonts w:hint="default"/>
                <w:vertAlign w:val="baseline"/>
                <w:lang w:val="en-US" w:eastAsia="zh-CN"/>
              </w:rPr>
            </w:pPr>
            <w:r>
              <w:rPr>
                <w:rFonts w:hint="eastAsia" w:ascii="仿宋_GB2312" w:hAnsi="仿宋_GB2312" w:eastAsia="仿宋_GB2312" w:cs="仿宋_GB2312"/>
                <w:vertAlign w:val="baseline"/>
                <w:lang w:val="en-US" w:eastAsia="zh-CN"/>
              </w:rPr>
              <w:t>6月-11月</w:t>
            </w:r>
          </w:p>
        </w:tc>
      </w:tr>
      <w:tr w14:paraId="1493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67" w:type="dxa"/>
            <w:vMerge w:val="continue"/>
          </w:tcPr>
          <w:p w14:paraId="0525AB09">
            <w:pPr>
              <w:tabs>
                <w:tab w:val="left" w:pos="675"/>
              </w:tabs>
              <w:jc w:val="center"/>
              <w:rPr>
                <w:rFonts w:hint="eastAsia" w:ascii="仿宋_GB2312" w:hAnsi="仿宋_GB2312" w:eastAsia="仿宋_GB2312" w:cs="仿宋_GB2312"/>
                <w:sz w:val="21"/>
                <w:szCs w:val="21"/>
                <w:lang w:val="en-US" w:eastAsia="zh-CN"/>
              </w:rPr>
            </w:pPr>
          </w:p>
        </w:tc>
        <w:tc>
          <w:tcPr>
            <w:tcW w:w="1027" w:type="dxa"/>
            <w:vMerge w:val="continue"/>
            <w:vAlign w:val="center"/>
          </w:tcPr>
          <w:p w14:paraId="6D2F2D3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p>
        </w:tc>
        <w:tc>
          <w:tcPr>
            <w:tcW w:w="1360" w:type="dxa"/>
            <w:vMerge w:val="continue"/>
            <w:vAlign w:val="center"/>
          </w:tcPr>
          <w:p w14:paraId="3B12445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p>
        </w:tc>
        <w:tc>
          <w:tcPr>
            <w:tcW w:w="746" w:type="dxa"/>
            <w:vAlign w:val="center"/>
          </w:tcPr>
          <w:p w14:paraId="1F8AFAF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配合部门</w:t>
            </w:r>
          </w:p>
        </w:tc>
        <w:tc>
          <w:tcPr>
            <w:tcW w:w="760" w:type="dxa"/>
            <w:vAlign w:val="center"/>
          </w:tcPr>
          <w:p w14:paraId="573CB59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消防部门</w:t>
            </w:r>
          </w:p>
        </w:tc>
        <w:tc>
          <w:tcPr>
            <w:tcW w:w="1374" w:type="dxa"/>
            <w:vAlign w:val="center"/>
          </w:tcPr>
          <w:p w14:paraId="02164DB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消防安全监督检查</w:t>
            </w:r>
          </w:p>
        </w:tc>
        <w:tc>
          <w:tcPr>
            <w:tcW w:w="1413" w:type="dxa"/>
            <w:vMerge w:val="continue"/>
            <w:vAlign w:val="center"/>
          </w:tcPr>
          <w:p w14:paraId="2B64AA7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p>
        </w:tc>
        <w:tc>
          <w:tcPr>
            <w:tcW w:w="3720" w:type="dxa"/>
            <w:vAlign w:val="center"/>
          </w:tcPr>
          <w:p w14:paraId="23B8BD6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对企业遵守消防法律、法规的情况依法进行监督检查。</w:t>
            </w:r>
          </w:p>
        </w:tc>
        <w:tc>
          <w:tcPr>
            <w:tcW w:w="1045" w:type="dxa"/>
            <w:vMerge w:val="continue"/>
          </w:tcPr>
          <w:p w14:paraId="54B4ADBD">
            <w:pPr>
              <w:pStyle w:val="2"/>
              <w:rPr>
                <w:rFonts w:hint="default"/>
                <w:vertAlign w:val="baseline"/>
                <w:lang w:val="en-US" w:eastAsia="zh-CN"/>
              </w:rPr>
            </w:pPr>
          </w:p>
        </w:tc>
        <w:tc>
          <w:tcPr>
            <w:tcW w:w="875" w:type="dxa"/>
            <w:vMerge w:val="continue"/>
          </w:tcPr>
          <w:p w14:paraId="1A625278">
            <w:pPr>
              <w:pStyle w:val="2"/>
              <w:rPr>
                <w:rFonts w:hint="default"/>
                <w:vertAlign w:val="baseline"/>
                <w:lang w:val="en-US" w:eastAsia="zh-CN"/>
              </w:rPr>
            </w:pPr>
          </w:p>
        </w:tc>
        <w:tc>
          <w:tcPr>
            <w:tcW w:w="1187" w:type="dxa"/>
            <w:vMerge w:val="continue"/>
          </w:tcPr>
          <w:p w14:paraId="776AFC01">
            <w:pPr>
              <w:pStyle w:val="2"/>
              <w:rPr>
                <w:rFonts w:hint="default"/>
                <w:vertAlign w:val="baseline"/>
                <w:lang w:val="en-US" w:eastAsia="zh-CN"/>
              </w:rPr>
            </w:pPr>
          </w:p>
        </w:tc>
      </w:tr>
    </w:tbl>
    <w:p w14:paraId="67617DCF">
      <w:pPr>
        <w:pStyle w:val="2"/>
        <w:rPr>
          <w:rFonts w:hint="default"/>
          <w:lang w:val="en-US" w:eastAsia="zh-CN"/>
        </w:rPr>
      </w:pP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modern"/>
    <w:pitch w:val="default"/>
    <w:sig w:usb0="000002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B082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04AD5">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904AD5">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60626"/>
    <w:rsid w:val="0006073A"/>
    <w:rsid w:val="00B00EF6"/>
    <w:rsid w:val="013219A0"/>
    <w:rsid w:val="01764B01"/>
    <w:rsid w:val="027F0306"/>
    <w:rsid w:val="03CF2C47"/>
    <w:rsid w:val="0435122C"/>
    <w:rsid w:val="062449FC"/>
    <w:rsid w:val="069B5BAF"/>
    <w:rsid w:val="072D2114"/>
    <w:rsid w:val="07372051"/>
    <w:rsid w:val="073F3924"/>
    <w:rsid w:val="08D42DCD"/>
    <w:rsid w:val="09036349"/>
    <w:rsid w:val="09D326A1"/>
    <w:rsid w:val="0D3560ED"/>
    <w:rsid w:val="0DA31153"/>
    <w:rsid w:val="10C16D46"/>
    <w:rsid w:val="11DF1890"/>
    <w:rsid w:val="1308137D"/>
    <w:rsid w:val="163D4127"/>
    <w:rsid w:val="17251A25"/>
    <w:rsid w:val="17655CEA"/>
    <w:rsid w:val="17F90C5D"/>
    <w:rsid w:val="18F4521A"/>
    <w:rsid w:val="19FF5EC7"/>
    <w:rsid w:val="1D0837A5"/>
    <w:rsid w:val="1D10301A"/>
    <w:rsid w:val="1DB618B5"/>
    <w:rsid w:val="1DF27CED"/>
    <w:rsid w:val="1DF30782"/>
    <w:rsid w:val="1DF56AA7"/>
    <w:rsid w:val="1E711139"/>
    <w:rsid w:val="20EB78F6"/>
    <w:rsid w:val="223E525B"/>
    <w:rsid w:val="234D3E41"/>
    <w:rsid w:val="2415665F"/>
    <w:rsid w:val="252A68FA"/>
    <w:rsid w:val="26500B52"/>
    <w:rsid w:val="28214749"/>
    <w:rsid w:val="285940BD"/>
    <w:rsid w:val="29242A1C"/>
    <w:rsid w:val="296F3EE7"/>
    <w:rsid w:val="29C44259"/>
    <w:rsid w:val="2A6C5FE0"/>
    <w:rsid w:val="2C6055AF"/>
    <w:rsid w:val="2CB829C8"/>
    <w:rsid w:val="2DE76196"/>
    <w:rsid w:val="32CF3F02"/>
    <w:rsid w:val="33276825"/>
    <w:rsid w:val="34083277"/>
    <w:rsid w:val="36375C4B"/>
    <w:rsid w:val="37F43748"/>
    <w:rsid w:val="3C886E91"/>
    <w:rsid w:val="3D104E34"/>
    <w:rsid w:val="43575BB5"/>
    <w:rsid w:val="44246EDE"/>
    <w:rsid w:val="44475EFF"/>
    <w:rsid w:val="446A0749"/>
    <w:rsid w:val="450E51C7"/>
    <w:rsid w:val="457A34E3"/>
    <w:rsid w:val="45C37745"/>
    <w:rsid w:val="45CA7A30"/>
    <w:rsid w:val="47D4158E"/>
    <w:rsid w:val="4A7F5451"/>
    <w:rsid w:val="4B660626"/>
    <w:rsid w:val="4E7131DD"/>
    <w:rsid w:val="4F245F2E"/>
    <w:rsid w:val="4F2D3275"/>
    <w:rsid w:val="4F3E2393"/>
    <w:rsid w:val="50352206"/>
    <w:rsid w:val="51612C6C"/>
    <w:rsid w:val="526E7576"/>
    <w:rsid w:val="536270DB"/>
    <w:rsid w:val="53977858"/>
    <w:rsid w:val="54CC2441"/>
    <w:rsid w:val="56F13A62"/>
    <w:rsid w:val="57C372F8"/>
    <w:rsid w:val="57D3469D"/>
    <w:rsid w:val="59470035"/>
    <w:rsid w:val="5B731AE1"/>
    <w:rsid w:val="5CD13D6D"/>
    <w:rsid w:val="5D7E3074"/>
    <w:rsid w:val="5E335697"/>
    <w:rsid w:val="5E9A14D9"/>
    <w:rsid w:val="5F6E4A7B"/>
    <w:rsid w:val="6203065E"/>
    <w:rsid w:val="641E2B67"/>
    <w:rsid w:val="65B4371E"/>
    <w:rsid w:val="69075FB3"/>
    <w:rsid w:val="693A4681"/>
    <w:rsid w:val="69DE20E4"/>
    <w:rsid w:val="6AB31E28"/>
    <w:rsid w:val="6ABD49B3"/>
    <w:rsid w:val="6BC821EC"/>
    <w:rsid w:val="70435373"/>
    <w:rsid w:val="72E507C2"/>
    <w:rsid w:val="770A729A"/>
    <w:rsid w:val="77D94DC5"/>
    <w:rsid w:val="77FC027A"/>
    <w:rsid w:val="7A0E3494"/>
    <w:rsid w:val="7B116B70"/>
    <w:rsid w:val="7D493C8C"/>
    <w:rsid w:val="7D9F04A9"/>
    <w:rsid w:val="7E681F3A"/>
    <w:rsid w:val="7F5F280B"/>
    <w:rsid w:val="BF2DB8AD"/>
    <w:rsid w:val="FBBF5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4"/>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2531</Words>
  <Characters>2598</Characters>
  <Lines>0</Lines>
  <Paragraphs>0</Paragraphs>
  <TotalTime>1</TotalTime>
  <ScaleCrop>false</ScaleCrop>
  <LinksUpToDate>false</LinksUpToDate>
  <CharactersWithSpaces>2604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2021-10-23T08:45:00Z</dcterms:created>
  <dc:creator>XCQAJJ</dc:creator>
  <cp:lastModifiedBy>administrator</cp:lastModifiedBy>
  <dcterms:modified xsi:type="dcterms:W3CDTF">2025-06-03T17:28:48Z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74D22C2FF7CE40B3B38FC3511D392995</vt:lpwstr>
  </property>
  <property fmtid="{D5CDD505-2E9C-101B-9397-08002B2CF9AE}" pid="4" name="KSOTemplateDocerSaveRecord">
    <vt:lpwstr>eyJoZGlkIjoiOGU3YjE2OGM5OGYyMDQ3YmNhN2U3NTMyNGZhOWZmNWUiLCJ1c2VySWQiOiI1OTQxMzcyNDAifQ==</vt:lpwstr>
  </property>
</Properties>
</file>