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</w:p>
    <w:p>
      <w:pPr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ascii="Times New Roman" w:hAnsi="Times New Roman" w:eastAsia="华文中宋" w:cs="Times New Roman"/>
          <w:spacing w:val="-6"/>
          <w:sz w:val="44"/>
          <w:szCs w:val="44"/>
        </w:rPr>
        <w:t xml:space="preserve">B 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关于区十三届人大四次会议第</w:t>
      </w:r>
      <w:r>
        <w:rPr>
          <w:rFonts w:ascii="Times New Roman" w:hAnsi="Times New Roman" w:eastAsia="华文中宋" w:cs="Times New Roman"/>
          <w:spacing w:val="-6"/>
          <w:sz w:val="44"/>
          <w:szCs w:val="44"/>
        </w:rPr>
        <w:t>65</w:t>
      </w: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号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建议的答复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李娜代表：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您提出的《关于加强电动三轮车管理的建议》收悉。现答复如下：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近年来，由于低速电动三轮四轮车价格便宜，无需挂牌和持证使用，使用门槛不高等因素，目前的需求量极大，城区保有量迅速增加。此类车辆随意上机动车道行驶、闯红灯、逆行、乱停乱放等问题尤为突出，加上此类车辆安全系数不高、速度相对较快、驾驶人员交通意识淡薄等，在给人们带来便利的同时，交通事故多发，形成较大的城市交通安全隐患，给城区交通带来了很多不利因素，成为城市交通管理的一大难题，虽经综合治理，但我区电动三、四轮车基数较大，整治过程中依然存在很多困难。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为全面加强对三轮车、四轮车的管理，有效预防和减少三轮车、四轮车引发的道路交通事故，薛城公安分局高度重视，局领导多次深入一线和执勤民警一起开展整治行动。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交通管理</w:t>
      </w:r>
      <w:r>
        <w:rPr>
          <w:rFonts w:hint="eastAsia" w:ascii="Times New Roman" w:hAnsi="仿宋" w:eastAsia="仿宋" w:cs="仿宋"/>
          <w:sz w:val="32"/>
          <w:szCs w:val="32"/>
        </w:rPr>
        <w:t>大队结合实际，认真履职，贯彻落实区委区政府及各级公安机关指示精神，按照《薛城区人民政府办公室关于印发</w:t>
      </w:r>
      <w:r>
        <w:rPr>
          <w:rFonts w:ascii="Times New Roman" w:hAnsi="Times New Roman" w:eastAsia="仿宋" w:cs="Times New Roman"/>
          <w:sz w:val="32"/>
          <w:szCs w:val="32"/>
        </w:rPr>
        <w:t>&lt;</w:t>
      </w:r>
      <w:r>
        <w:rPr>
          <w:rFonts w:hint="eastAsia" w:ascii="Times New Roman" w:hAnsi="仿宋" w:eastAsia="仿宋" w:cs="仿宋"/>
          <w:sz w:val="32"/>
          <w:szCs w:val="32"/>
        </w:rPr>
        <w:t>薛城区进一步加强电（机）动三轮车、四轮车城区综合整治工作实施方案</w:t>
      </w:r>
      <w:r>
        <w:rPr>
          <w:rFonts w:ascii="Times New Roman" w:hAnsi="Times New Roman" w:eastAsia="仿宋" w:cs="Times New Roman"/>
          <w:sz w:val="32"/>
          <w:szCs w:val="32"/>
        </w:rPr>
        <w:t>&gt;</w:t>
      </w:r>
      <w:r>
        <w:rPr>
          <w:rFonts w:hint="eastAsia" w:ascii="Times New Roman" w:hAnsi="仿宋" w:eastAsia="仿宋" w:cs="仿宋"/>
          <w:sz w:val="32"/>
          <w:szCs w:val="32"/>
        </w:rPr>
        <w:t>的通知》（薛政办发</w:t>
      </w:r>
      <w:r>
        <w:rPr>
          <w:rFonts w:ascii="Times New Roman" w:hAnsi="Times New Roman" w:eastAsia="仿宋" w:cs="Times New Roman"/>
          <w:sz w:val="32"/>
          <w:szCs w:val="32"/>
        </w:rPr>
        <w:t>[2022]11</w:t>
      </w:r>
      <w:r>
        <w:rPr>
          <w:rFonts w:hint="eastAsia" w:ascii="Times New Roman" w:hAnsi="仿宋" w:eastAsia="仿宋" w:cs="仿宋"/>
          <w:sz w:val="32"/>
          <w:szCs w:val="32"/>
        </w:rPr>
        <w:t>号）要求，不断采取各项有效措施，扎实开展了电动三轮车、四轮车治理工作。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划定限行区，明确整治范围，开展三轮车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仿宋"/>
          <w:sz w:val="32"/>
          <w:szCs w:val="32"/>
        </w:rPr>
        <w:t>三见面一建档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仿宋"/>
          <w:sz w:val="32"/>
          <w:szCs w:val="32"/>
        </w:rPr>
        <w:t>工作，组织警力集中开展三轮车、四轮车无牌、无证、闯红灯、闯禁区、不按规定车道行驶、乱停乱放等交通违法专项整治行动。建立公安交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管</w:t>
      </w:r>
      <w:r>
        <w:rPr>
          <w:rFonts w:hint="eastAsia" w:ascii="Times New Roman" w:hAnsi="仿宋" w:eastAsia="仿宋" w:cs="仿宋"/>
          <w:sz w:val="32"/>
          <w:szCs w:val="32"/>
        </w:rPr>
        <w:t>与区综合行政执法局对侵占城市道路违法停车处罚的联合查处机制，积极推进侵占城市道路违法停放车辆联合执法工作。同时，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交通管理</w:t>
      </w:r>
      <w:r>
        <w:rPr>
          <w:rFonts w:hint="eastAsia" w:ascii="Times New Roman" w:hAnsi="仿宋" w:eastAsia="仿宋" w:cs="仿宋"/>
          <w:sz w:val="32"/>
          <w:szCs w:val="32"/>
        </w:rPr>
        <w:t>大队多次与交运局、市场监管、综合执法局组成联合执法队，开展联合整治行动，确保执法无缝隙、全覆盖，从源头上预防和减少三四轮电动车违法行为，</w:t>
      </w:r>
      <w:bookmarkStart w:id="0" w:name="_GoBack"/>
      <w:bookmarkEnd w:id="0"/>
      <w:r>
        <w:rPr>
          <w:rFonts w:hint="eastAsia" w:ascii="Times New Roman" w:hAnsi="仿宋" w:eastAsia="仿宋" w:cs="仿宋"/>
          <w:sz w:val="32"/>
          <w:szCs w:val="32"/>
        </w:rPr>
        <w:t>不断规范城区道路交通秩序，全力维护辖区良好道路交通秩序。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下一步结合建议，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分局交通管理</w:t>
      </w:r>
      <w:r>
        <w:rPr>
          <w:rFonts w:hint="eastAsia" w:ascii="Times New Roman" w:hAnsi="仿宋" w:eastAsia="仿宋" w:cs="仿宋"/>
          <w:sz w:val="32"/>
          <w:szCs w:val="32"/>
        </w:rPr>
        <w:t>大队将继续发挥职能作用，推动政府主导作用，整治措施也将相继完善，多部门齐抓共管，综合整治，相信电动车治理问题能够得以真正解决。对于您的关心，再次表示感谢，欢迎您对公安交通管理工作多提宝贵意见。</w:t>
      </w:r>
    </w:p>
    <w:p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52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520" w:lineRule="exact"/>
        <w:jc w:val="righ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枣庄市公安局薛城分局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line="58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仿宋" w:eastAsia="仿宋" w:cs="仿宋"/>
          <w:sz w:val="32"/>
          <w:szCs w:val="32"/>
        </w:rPr>
        <w:t>联系人：闵杰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hint="eastAsia" w:ascii="Times New Roman" w:hAnsi="仿宋" w:eastAsia="仿宋" w:cs="仿宋"/>
          <w:sz w:val="32"/>
          <w:szCs w:val="32"/>
        </w:rPr>
        <w:t>联系电话：</w:t>
      </w:r>
      <w:r>
        <w:rPr>
          <w:rFonts w:ascii="Times New Roman" w:hAnsi="Times New Roman" w:eastAsia="仿宋" w:cs="Times New Roman"/>
          <w:sz w:val="32"/>
          <w:szCs w:val="32"/>
        </w:rPr>
        <w:t>0632---5195806</w:t>
      </w:r>
    </w:p>
    <w:sectPr>
      <w:footerReference r:id="rId3" w:type="default"/>
      <w:pgSz w:w="11906" w:h="16838"/>
      <w:pgMar w:top="153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C974C3"/>
    <w:rsid w:val="0011209A"/>
    <w:rsid w:val="00160762"/>
    <w:rsid w:val="00615090"/>
    <w:rsid w:val="007713BB"/>
    <w:rsid w:val="008A5297"/>
    <w:rsid w:val="00B94E7A"/>
    <w:rsid w:val="00C87DF3"/>
    <w:rsid w:val="00CE2CCB"/>
    <w:rsid w:val="00D05055"/>
    <w:rsid w:val="00D11E91"/>
    <w:rsid w:val="00D73B89"/>
    <w:rsid w:val="00E04790"/>
    <w:rsid w:val="00E70FB1"/>
    <w:rsid w:val="00FB336D"/>
    <w:rsid w:val="087F1117"/>
    <w:rsid w:val="10322E80"/>
    <w:rsid w:val="21E533CD"/>
    <w:rsid w:val="39C974C3"/>
    <w:rsid w:val="51B368EF"/>
    <w:rsid w:val="532E5C7C"/>
    <w:rsid w:val="67B30F38"/>
    <w:rsid w:val="6C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山东省公安厅</Company>
  <Pages>1</Pages>
  <Words>139</Words>
  <Characters>793</Characters>
  <Lines>6</Lines>
  <Paragraphs>1</Paragraphs>
  <TotalTime>2</TotalTime>
  <ScaleCrop>false</ScaleCrop>
  <LinksUpToDate>false</LinksUpToDate>
  <CharactersWithSpaces>931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2025-06-10T01:11:00Z</dcterms:created>
  <dc:creator>Administrator</dc:creator>
  <cp:lastModifiedBy>Administrator</cp:lastModifiedBy>
  <cp:lastPrinted>2025-07-09T07:25:21Z</cp:lastPrinted>
  <dcterms:modified xsi:type="dcterms:W3CDTF">2025-07-09T07:27:19Z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