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both"/>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4"/>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4"/>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4"/>
        <w:spacing w:before="0" w:beforeAutospacing="0" w:after="0" w:afterAutospacing="0" w:line="600" w:lineRule="exact"/>
        <w:jc w:val="center"/>
        <w:rPr>
          <w:rFonts w:hint="default"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color w:val="000000"/>
          <w:sz w:val="32"/>
          <w:szCs w:val="32"/>
        </w:rPr>
        <w:t>枣环薛审字〔202</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highlight w:val="none"/>
        </w:rPr>
        <w:t>B</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16</w:t>
      </w:r>
    </w:p>
    <w:p>
      <w:pPr>
        <w:pStyle w:val="14"/>
        <w:tabs>
          <w:tab w:val="left" w:pos="7102"/>
        </w:tabs>
        <w:spacing w:before="0" w:beforeAutospacing="0" w:after="0" w:afterAutospacing="0" w:line="600" w:lineRule="exac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ab/>
      </w:r>
    </w:p>
    <w:p>
      <w:pPr>
        <w:widowControl/>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w:t>
      </w:r>
      <w:r>
        <w:rPr>
          <w:rFonts w:hint="eastAsia" w:ascii="Times New Roman" w:hAnsi="Times New Roman" w:eastAsia="方正小标宋简体"/>
          <w:sz w:val="44"/>
          <w:szCs w:val="44"/>
        </w:rPr>
        <w:t>枣庄墨林机械设备有限公司</w:t>
      </w:r>
      <w:r>
        <w:rPr>
          <w:rFonts w:ascii="Times New Roman" w:hAnsi="Times New Roman" w:eastAsia="方正小标宋简体"/>
          <w:sz w:val="44"/>
          <w:szCs w:val="44"/>
        </w:rPr>
        <w:t>一般固废收集储存转运项目环境影响报告表的批复</w:t>
      </w:r>
    </w:p>
    <w:p>
      <w:pPr>
        <w:pStyle w:val="23"/>
        <w:tabs>
          <w:tab w:val="left" w:pos="3030"/>
        </w:tabs>
        <w:spacing w:line="600" w:lineRule="exact"/>
        <w:ind w:firstLine="640" w:firstLineChars="200"/>
        <w:rPr>
          <w:rFonts w:ascii="Times New Roman" w:hAnsi="Times New Roman" w:eastAsia="仿宋_GB2312" w:cs="Times New Roman"/>
          <w:sz w:val="32"/>
          <w:szCs w:val="32"/>
        </w:rPr>
      </w:pPr>
    </w:p>
    <w:p>
      <w:pPr>
        <w:pStyle w:val="23"/>
        <w:tabs>
          <w:tab w:val="left" w:pos="3030"/>
        </w:tabs>
        <w:spacing w:line="580" w:lineRule="exact"/>
        <w:ind w:firstLine="0"/>
        <w:rPr>
          <w:rFonts w:ascii="Times New Roman" w:hAnsi="Times New Roman" w:eastAsia="仿宋_GB2312" w:cs="Times New Roman"/>
          <w:sz w:val="32"/>
          <w:szCs w:val="32"/>
        </w:rPr>
      </w:pPr>
      <w:r>
        <w:rPr>
          <w:rFonts w:ascii="Times New Roman" w:hAnsi="Times New Roman" w:eastAsia="仿宋_GB2312" w:cs="Times New Roman"/>
          <w:sz w:val="32"/>
          <w:szCs w:val="32"/>
        </w:rPr>
        <w:t>枣庄墨林机械设备有限公司：</w:t>
      </w:r>
    </w:p>
    <w:p>
      <w:pPr>
        <w:pStyle w:val="23"/>
        <w:tabs>
          <w:tab w:val="left" w:pos="3030"/>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你公司报送的《一般固废收集储存转运项目环境影响报告表》收悉。经研究，批复如下：</w:t>
      </w:r>
    </w:p>
    <w:p>
      <w:pPr>
        <w:pStyle w:val="23"/>
        <w:tabs>
          <w:tab w:val="left" w:pos="3030"/>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项目属于扩</w:t>
      </w:r>
      <w:r>
        <w:rPr>
          <w:rFonts w:hint="eastAsia" w:ascii="Times New Roman" w:hAnsi="Times New Roman" w:eastAsia="仿宋_GB2312" w:cs="Times New Roman"/>
          <w:sz w:val="32"/>
          <w:szCs w:val="32"/>
        </w:rPr>
        <w:t>建</w:t>
      </w:r>
      <w:r>
        <w:rPr>
          <w:rFonts w:ascii="Times New Roman" w:hAnsi="Times New Roman" w:eastAsia="仿宋_GB2312" w:cs="Times New Roman"/>
          <w:sz w:val="32"/>
          <w:szCs w:val="32"/>
        </w:rPr>
        <w:t>，位于</w:t>
      </w:r>
      <w:r>
        <w:rPr>
          <w:rFonts w:hint="eastAsia" w:ascii="Times New Roman" w:hAnsi="Times New Roman" w:eastAsia="仿宋_GB2312" w:cs="Times New Roman"/>
          <w:sz w:val="32"/>
          <w:szCs w:val="32"/>
        </w:rPr>
        <w:t>枣庄市薛城区陶庄镇后湾村西，项目总投资300万元，其中环保投资5万元。用地面积3000平方米，购置分拣机、传送带、打包机等设备，以外购的废钢铁、废木材及相关制品、废纸、废塑料为原料，通过分拣、打包、分类暂存等工艺建设一般固废收集储存转运项目，年储存转运一般固废2600吨。</w:t>
      </w:r>
    </w:p>
    <w:p>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项目在符合产业政策与产业发展规划</w:t>
      </w:r>
      <w:r>
        <w:rPr>
          <w:rFonts w:hint="eastAsia" w:ascii="Times New Roman" w:hAnsi="Times New Roman" w:eastAsia="仿宋_GB2312"/>
          <w:sz w:val="32"/>
          <w:szCs w:val="32"/>
        </w:rPr>
        <w:t>、</w:t>
      </w:r>
      <w:r>
        <w:rPr>
          <w:rFonts w:ascii="Times New Roman" w:hAnsi="Times New Roman" w:eastAsia="仿宋_GB2312"/>
          <w:sz w:val="32"/>
          <w:szCs w:val="32"/>
        </w:rPr>
        <w:t>选址符合城市总体规划和区域土地利用规划等前提下，根据环评报告结论</w:t>
      </w:r>
      <w:r>
        <w:rPr>
          <w:rFonts w:hint="eastAsia" w:ascii="Times New Roman" w:hAnsi="Times New Roman" w:eastAsia="仿宋_GB2312"/>
          <w:sz w:val="32"/>
          <w:szCs w:val="32"/>
        </w:rPr>
        <w:t>，</w:t>
      </w:r>
      <w:r>
        <w:rPr>
          <w:rFonts w:ascii="Times New Roman" w:hAnsi="Times New Roman" w:eastAsia="仿宋_GB2312"/>
          <w:bCs/>
          <w:sz w:val="32"/>
          <w:szCs w:val="32"/>
        </w:rPr>
        <w:t>在全面落实环境影响报告表提出的各项生态保护和污染防治措施后，工程对环境的不利影响能够得到减缓和控制。</w:t>
      </w:r>
      <w:r>
        <w:rPr>
          <w:rFonts w:ascii="Times New Roman" w:hAnsi="Times New Roman" w:eastAsia="仿宋_GB2312"/>
          <w:sz w:val="32"/>
          <w:szCs w:val="32"/>
        </w:rPr>
        <w:t>从环境保护角度分析，</w:t>
      </w:r>
      <w:r>
        <w:rPr>
          <w:rFonts w:ascii="Times New Roman" w:hAnsi="Times New Roman" w:eastAsia="仿宋_GB2312"/>
          <w:bCs/>
          <w:sz w:val="32"/>
          <w:szCs w:val="32"/>
        </w:rPr>
        <w:t>我局原则同意你公司</w:t>
      </w:r>
      <w:r>
        <w:rPr>
          <w:rFonts w:hint="eastAsia" w:ascii="Times New Roman" w:hAnsi="Times New Roman" w:eastAsia="仿宋_GB2312"/>
          <w:bCs/>
          <w:sz w:val="32"/>
          <w:szCs w:val="32"/>
        </w:rPr>
        <w:t>按照</w:t>
      </w:r>
      <w:r>
        <w:rPr>
          <w:rFonts w:ascii="Times New Roman" w:hAnsi="Times New Roman" w:eastAsia="仿宋_GB2312"/>
          <w:bCs/>
          <w:sz w:val="32"/>
          <w:szCs w:val="32"/>
        </w:rPr>
        <w:t>报告表所列地点、工艺、规模和环境保护对策措施</w:t>
      </w:r>
      <w:r>
        <w:rPr>
          <w:rFonts w:hint="eastAsia" w:ascii="Times New Roman" w:hAnsi="Times New Roman" w:eastAsia="仿宋_GB2312"/>
          <w:bCs/>
          <w:sz w:val="32"/>
          <w:szCs w:val="32"/>
        </w:rPr>
        <w:t>开展项目建设</w:t>
      </w:r>
      <w:r>
        <w:rPr>
          <w:rFonts w:ascii="Times New Roman" w:hAnsi="Times New Roman" w:eastAsia="仿宋_GB2312"/>
          <w:bCs/>
          <w:sz w:val="32"/>
          <w:szCs w:val="32"/>
        </w:rPr>
        <w:t>。</w:t>
      </w:r>
    </w:p>
    <w:p>
      <w:pPr>
        <w:pStyle w:val="23"/>
        <w:tabs>
          <w:tab w:val="left" w:pos="3030"/>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二、项目在运营中须严格落实环境影响报告表提出的污染防治措施和以下要求：</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）严格落实水污染防治措施</w:t>
      </w:r>
      <w:r>
        <w:rPr>
          <w:rFonts w:hint="eastAsia" w:ascii="Times New Roman" w:hAnsi="Times New Roman" w:eastAsia="仿宋_GB2312"/>
          <w:sz w:val="32"/>
          <w:szCs w:val="32"/>
        </w:rPr>
        <w:t>。</w:t>
      </w:r>
      <w:r>
        <w:rPr>
          <w:rFonts w:ascii="Times New Roman" w:hAnsi="Times New Roman" w:eastAsia="仿宋_GB2312"/>
          <w:sz w:val="32"/>
          <w:szCs w:val="32"/>
        </w:rPr>
        <w:t>按照“雨污分流、清污分流、污污分流”原则完善厂区排水系统。生活污水排入化粪池，委托环卫部门定期清运</w:t>
      </w:r>
      <w:r>
        <w:rPr>
          <w:rFonts w:hint="eastAsia"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（二）严格落实土壤和地下水污染防治措施。以“源头防控、分区防治、污染监控、应急响应”为原则进行地下水污染防治</w:t>
      </w:r>
      <w:r>
        <w:rPr>
          <w:rFonts w:hint="eastAsia" w:ascii="Times New Roman" w:hAnsi="Times New Roman" w:eastAsia="仿宋_GB2312"/>
          <w:sz w:val="32"/>
          <w:szCs w:val="32"/>
        </w:rPr>
        <w:t>。</w:t>
      </w:r>
      <w:r>
        <w:rPr>
          <w:rFonts w:ascii="Times New Roman" w:hAnsi="Times New Roman" w:eastAsia="仿宋_GB2312"/>
          <w:sz w:val="32"/>
          <w:szCs w:val="32"/>
        </w:rPr>
        <w:t>及时启动应急预案和应急措施，应对土壤或地下水污染。</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）严格落实噪声污染防治措施。通过合理布局，采用防噪、降噪、选用低噪声设备，减震及厂房隔音处理等有效措施后，厂界噪声执行《工业企业厂界环境噪声排放标准》(GB12348-2008)中</w:t>
      </w:r>
      <w:r>
        <w:rPr>
          <w:rFonts w:hint="eastAsia" w:ascii="Times New Roman" w:hAnsi="Times New Roman" w:eastAsia="仿宋_GB2312"/>
          <w:sz w:val="32"/>
          <w:szCs w:val="32"/>
        </w:rPr>
        <w:t>2</w:t>
      </w:r>
      <w:r>
        <w:rPr>
          <w:rFonts w:ascii="Times New Roman" w:hAnsi="Times New Roman" w:eastAsia="仿宋_GB2312"/>
          <w:sz w:val="32"/>
          <w:szCs w:val="32"/>
        </w:rPr>
        <w:t>类标准。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）严格落实固体废物分类处置措施。一般固体废物按照《中华人民共和国固体废物污染环境防治法》标准要求，全部合理综合利用。废</w:t>
      </w:r>
      <w:r>
        <w:rPr>
          <w:rFonts w:hint="eastAsia" w:ascii="Times New Roman" w:hAnsi="Times New Roman" w:eastAsia="仿宋_GB2312"/>
          <w:sz w:val="32"/>
          <w:szCs w:val="32"/>
        </w:rPr>
        <w:t>机油、废液压油、废机油桶、废液压油桶等危险废物应</w:t>
      </w:r>
      <w:r>
        <w:rPr>
          <w:rFonts w:ascii="Times New Roman" w:hAnsi="Times New Roman" w:eastAsia="仿宋_GB2312"/>
          <w:sz w:val="32"/>
          <w:szCs w:val="32"/>
        </w:rPr>
        <w:t>按照《危险废物贮存污染控制标准》(GB18597-20</w:t>
      </w:r>
      <w:r>
        <w:rPr>
          <w:rFonts w:hint="eastAsia" w:ascii="Times New Roman" w:hAnsi="Times New Roman" w:eastAsia="仿宋_GB2312"/>
          <w:sz w:val="32"/>
          <w:szCs w:val="32"/>
        </w:rPr>
        <w:t>23</w:t>
      </w:r>
      <w:r>
        <w:rPr>
          <w:rFonts w:ascii="Times New Roman" w:hAnsi="Times New Roman" w:eastAsia="仿宋_GB2312"/>
          <w:sz w:val="32"/>
          <w:szCs w:val="32"/>
        </w:rPr>
        <w:t>)要求存储，并委托有资质的单位处置。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）健全环境管理制度。</w:t>
      </w:r>
      <w:r>
        <w:rPr>
          <w:rFonts w:hint="eastAsia" w:ascii="Times New Roman" w:hAnsi="Times New Roman" w:eastAsia="仿宋_GB2312"/>
          <w:sz w:val="32"/>
          <w:szCs w:val="32"/>
        </w:rPr>
        <w:t>在项目施工和运营期，认真履行安全生产责任。</w:t>
      </w:r>
      <w:r>
        <w:rPr>
          <w:rFonts w:ascii="Times New Roman" w:hAnsi="Times New Roman" w:eastAsia="仿宋_GB2312"/>
          <w:sz w:val="32"/>
          <w:szCs w:val="32"/>
        </w:rPr>
        <w:t>落实报告中的各项环境监测计划及环境管理要求。</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）强化环境风险防范和应急措施。</w:t>
      </w:r>
      <w:r>
        <w:rPr>
          <w:rFonts w:ascii="Times New Roman" w:hAnsi="Times New Roman" w:eastAsia="仿宋_GB2312"/>
          <w:bCs/>
          <w:sz w:val="32"/>
          <w:szCs w:val="32"/>
        </w:rPr>
        <w:t>制定突发环境事件应急预案，配备必要的事故防范应急设施、设备</w:t>
      </w:r>
      <w:r>
        <w:rPr>
          <w:rFonts w:ascii="Times New Roman" w:hAnsi="Times New Roman" w:eastAsia="仿宋_GB2312"/>
          <w:sz w:val="32"/>
          <w:szCs w:val="32"/>
        </w:rPr>
        <w:t>并演练，切实加强事故应急处理及防范能力，确保环境安全。</w:t>
      </w:r>
    </w:p>
    <w:p>
      <w:pPr>
        <w:spacing w:line="580" w:lineRule="exact"/>
        <w:ind w:firstLine="640" w:firstLineChars="200"/>
        <w:rPr>
          <w:rStyle w:val="25"/>
          <w:rFonts w:ascii="Times New Roman" w:hAnsi="Times New Roman" w:eastAsia="仿宋_GB231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七）</w:t>
      </w:r>
      <w:r>
        <w:rPr>
          <w:rFonts w:ascii="Times New Roman" w:hAnsi="Times New Roman" w:eastAsia="仿宋_GB2312"/>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25"/>
          <w:rFonts w:ascii="Times New Roman" w:hAnsi="Times New Roman" w:eastAsia="仿宋_GB231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八</w:t>
      </w:r>
      <w:r>
        <w:rPr>
          <w:rFonts w:ascii="Times New Roman" w:hAnsi="Times New Roman" w:eastAsia="仿宋_GB2312"/>
          <w:sz w:val="32"/>
          <w:szCs w:val="32"/>
        </w:rPr>
        <w:t>）本项目如还须依法办理其他批准或备案手续，在法定的各项手续办理齐全后，方能开工建设。</w:t>
      </w:r>
    </w:p>
    <w:p>
      <w:pPr>
        <w:pStyle w:val="15"/>
        <w:spacing w:after="0" w:line="580" w:lineRule="exact"/>
        <w:ind w:firstLine="640" w:firstLineChars="200"/>
        <w:rPr>
          <w:rFonts w:eastAsia="仿宋_GB2312"/>
          <w:sz w:val="32"/>
          <w:szCs w:val="32"/>
        </w:rPr>
      </w:pPr>
      <w:r>
        <w:rPr>
          <w:rFonts w:eastAsia="仿宋_GB2312"/>
          <w:sz w:val="32"/>
          <w:szCs w:val="32"/>
        </w:rPr>
        <w:t>三、严格执行配套建设的环境保护设施与主体项目同时设计、同时施工、同时投入使用的“三同时”制度，落实各项环境保护措施。项目建成后，须按规定程序</w:t>
      </w:r>
      <w:r>
        <w:rPr>
          <w:rFonts w:hint="eastAsia" w:eastAsia="仿宋_GB2312"/>
          <w:sz w:val="32"/>
          <w:szCs w:val="32"/>
        </w:rPr>
        <w:t>申领排污许可证、</w:t>
      </w:r>
      <w:r>
        <w:rPr>
          <w:rFonts w:eastAsia="仿宋_GB2312"/>
          <w:sz w:val="32"/>
          <w:szCs w:val="32"/>
        </w:rPr>
        <w:t>实施竣工环境保护验收，验收通过后，方可正式投运。</w:t>
      </w:r>
    </w:p>
    <w:p>
      <w:pPr>
        <w:pStyle w:val="15"/>
        <w:spacing w:after="0" w:line="580" w:lineRule="exact"/>
        <w:ind w:firstLine="640" w:firstLineChars="200"/>
        <w:rPr>
          <w:rFonts w:eastAsia="仿宋_GB2312"/>
          <w:sz w:val="32"/>
          <w:szCs w:val="32"/>
        </w:rPr>
      </w:pPr>
      <w:r>
        <w:rPr>
          <w:rFonts w:eastAsia="仿宋_GB2312"/>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五、薛城区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、陶庄镇政府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spacing w:line="580" w:lineRule="exact"/>
        <w:ind w:firstLine="5120" w:firstLineChars="1600"/>
        <w:jc w:val="right"/>
        <w:rPr>
          <w:rFonts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5</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日</w:t>
      </w:r>
    </w:p>
    <w:p>
      <w:pPr>
        <w:pStyle w:val="21"/>
        <w:spacing w:after="0" w:line="580" w:lineRule="exact"/>
        <w:ind w:left="0" w:leftChars="0"/>
        <w:rPr>
          <w:rFonts w:hint="default"/>
        </w:rPr>
      </w:pPr>
    </w:p>
    <w:p/>
    <w:p>
      <w:pPr>
        <w:spacing w:line="580" w:lineRule="exact"/>
        <w:rPr>
          <w:rFonts w:ascii="Times New Roman" w:hAnsi="Times New Roman" w:eastAsia="仿宋_GB2312"/>
          <w:sz w:val="32"/>
          <w:szCs w:val="32"/>
        </w:rPr>
      </w:pPr>
    </w:p>
    <w:p>
      <w:pPr>
        <w:spacing w:line="580" w:lineRule="exact"/>
        <w:rPr>
          <w:rFonts w:ascii="Times New Roman" w:hAnsi="Times New Roman" w:eastAsia="仿宋_GB2312"/>
          <w:sz w:val="32"/>
          <w:szCs w:val="32"/>
        </w:rPr>
      </w:pPr>
    </w:p>
    <w:p>
      <w:pPr>
        <w:spacing w:line="580" w:lineRule="exact"/>
        <w:rPr>
          <w:rFonts w:ascii="Times New Roman" w:hAnsi="Times New Roman" w:eastAsia="仿宋_GB2312"/>
          <w:sz w:val="32"/>
          <w:szCs w:val="32"/>
        </w:rPr>
      </w:pPr>
    </w:p>
    <w:p>
      <w:pPr>
        <w:spacing w:line="580" w:lineRule="exac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pPr>
        <w:pStyle w:val="4"/>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薛城区应急管理局、山东优合环保科技有限公司</w:t>
      </w:r>
    </w:p>
    <w:p>
      <w:pPr>
        <w:spacing w:line="580" w:lineRule="exact"/>
        <w:rPr>
          <w:rFonts w:ascii="Times New Roman" w:hAnsi="Times New Roman" w:eastAsia="仿宋_GB2312"/>
          <w:w w:val="95"/>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ewaH1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w:t>
      </w:r>
      <w:r>
        <w:rPr>
          <w:rFonts w:hint="eastAsia" w:ascii="Times New Roman" w:hAnsi="Times New Roman" w:eastAsia="仿宋_GB2312"/>
          <w:w w:val="95"/>
          <w:sz w:val="32"/>
          <w:szCs w:val="32"/>
        </w:rPr>
        <w:t>5</w:t>
      </w:r>
      <w:r>
        <w:rPr>
          <w:rFonts w:ascii="Times New Roman" w:hAnsi="Times New Roman" w:eastAsia="仿宋_GB2312"/>
          <w:w w:val="95"/>
          <w:sz w:val="32"/>
          <w:szCs w:val="32"/>
        </w:rPr>
        <w:t>年</w:t>
      </w:r>
      <w:r>
        <w:rPr>
          <w:rFonts w:hint="eastAsia" w:ascii="Times New Roman" w:hAnsi="Times New Roman" w:eastAsia="仿宋_GB2312"/>
          <w:w w:val="95"/>
          <w:sz w:val="32"/>
          <w:szCs w:val="32"/>
        </w:rPr>
        <w:t>5</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29</w:t>
      </w:r>
      <w:bookmarkStart w:id="0" w:name="_GoBack"/>
      <w:bookmarkEnd w:id="0"/>
      <w:r>
        <w:rPr>
          <w:rFonts w:ascii="Times New Roman" w:hAnsi="Times New Roman" w:eastAsia="仿宋_GB2312"/>
          <w:w w:val="95"/>
          <w:sz w:val="32"/>
          <w:szCs w:val="32"/>
        </w:rPr>
        <w:t>日 打印6份</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DRjMTQ3OGQ3ZTE1YmQ4Y2ZhMGNmOTkwN2ZkMjAifQ=="/>
  </w:docVars>
  <w:rsids>
    <w:rsidRoot w:val="390515EE"/>
    <w:rsid w:val="000D4D81"/>
    <w:rsid w:val="000E65AE"/>
    <w:rsid w:val="002316F2"/>
    <w:rsid w:val="002410F1"/>
    <w:rsid w:val="003A4DB8"/>
    <w:rsid w:val="003C0F5F"/>
    <w:rsid w:val="003F7631"/>
    <w:rsid w:val="00403AF5"/>
    <w:rsid w:val="00423F8D"/>
    <w:rsid w:val="00543B96"/>
    <w:rsid w:val="00594E2E"/>
    <w:rsid w:val="006011BD"/>
    <w:rsid w:val="006504D3"/>
    <w:rsid w:val="00683D1F"/>
    <w:rsid w:val="00701838"/>
    <w:rsid w:val="00706158"/>
    <w:rsid w:val="00716ADB"/>
    <w:rsid w:val="0071760A"/>
    <w:rsid w:val="00887E11"/>
    <w:rsid w:val="0091713C"/>
    <w:rsid w:val="00AC12D5"/>
    <w:rsid w:val="00AC6F25"/>
    <w:rsid w:val="00B26474"/>
    <w:rsid w:val="00B7290B"/>
    <w:rsid w:val="00C61870"/>
    <w:rsid w:val="00C8153A"/>
    <w:rsid w:val="00CE235A"/>
    <w:rsid w:val="00D1225F"/>
    <w:rsid w:val="00DC1245"/>
    <w:rsid w:val="00DE387E"/>
    <w:rsid w:val="00E1475E"/>
    <w:rsid w:val="00E17FA2"/>
    <w:rsid w:val="00E81FE5"/>
    <w:rsid w:val="00FC4D40"/>
    <w:rsid w:val="01161381"/>
    <w:rsid w:val="012832B8"/>
    <w:rsid w:val="0167398B"/>
    <w:rsid w:val="024B7873"/>
    <w:rsid w:val="02526DB7"/>
    <w:rsid w:val="027F090F"/>
    <w:rsid w:val="03320CA7"/>
    <w:rsid w:val="03327FC8"/>
    <w:rsid w:val="03D746CC"/>
    <w:rsid w:val="04074FB1"/>
    <w:rsid w:val="040F2FA9"/>
    <w:rsid w:val="043F474B"/>
    <w:rsid w:val="0560706F"/>
    <w:rsid w:val="06FC6923"/>
    <w:rsid w:val="07E86EA8"/>
    <w:rsid w:val="096D58B6"/>
    <w:rsid w:val="09975029"/>
    <w:rsid w:val="0A1C108A"/>
    <w:rsid w:val="0C8353F1"/>
    <w:rsid w:val="0DA516C5"/>
    <w:rsid w:val="0DAB2E51"/>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A0C7E93"/>
    <w:rsid w:val="1B574618"/>
    <w:rsid w:val="1E0C793C"/>
    <w:rsid w:val="1F2F1715"/>
    <w:rsid w:val="1FEF468D"/>
    <w:rsid w:val="204F138A"/>
    <w:rsid w:val="21132D8F"/>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2FD4C60"/>
    <w:rsid w:val="334E5EA9"/>
    <w:rsid w:val="339064C2"/>
    <w:rsid w:val="345710F9"/>
    <w:rsid w:val="37144DE7"/>
    <w:rsid w:val="373C4996"/>
    <w:rsid w:val="390515EE"/>
    <w:rsid w:val="3A9B7C26"/>
    <w:rsid w:val="3ACE7FFB"/>
    <w:rsid w:val="3B027CA5"/>
    <w:rsid w:val="3B497682"/>
    <w:rsid w:val="3C2459F9"/>
    <w:rsid w:val="3D791D75"/>
    <w:rsid w:val="3E8BBA78"/>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C331E97"/>
    <w:rsid w:val="4C46376A"/>
    <w:rsid w:val="4C465518"/>
    <w:rsid w:val="4C505F95"/>
    <w:rsid w:val="4D4B1038"/>
    <w:rsid w:val="50175FC5"/>
    <w:rsid w:val="50795EBC"/>
    <w:rsid w:val="50964CC0"/>
    <w:rsid w:val="509E1DC6"/>
    <w:rsid w:val="5160707C"/>
    <w:rsid w:val="51676C37"/>
    <w:rsid w:val="51B178D7"/>
    <w:rsid w:val="51ED53F0"/>
    <w:rsid w:val="53C438F2"/>
    <w:rsid w:val="547C241E"/>
    <w:rsid w:val="54F2623D"/>
    <w:rsid w:val="556F11EF"/>
    <w:rsid w:val="5591373D"/>
    <w:rsid w:val="56116B96"/>
    <w:rsid w:val="56680EAC"/>
    <w:rsid w:val="57A53A3A"/>
    <w:rsid w:val="583B7EFB"/>
    <w:rsid w:val="585D2567"/>
    <w:rsid w:val="59B83EF9"/>
    <w:rsid w:val="5A025174"/>
    <w:rsid w:val="5ACB7C5C"/>
    <w:rsid w:val="5BEC62F7"/>
    <w:rsid w:val="5CAE15E3"/>
    <w:rsid w:val="5DF254FF"/>
    <w:rsid w:val="5DF5284C"/>
    <w:rsid w:val="5E5F0DE7"/>
    <w:rsid w:val="600A6B30"/>
    <w:rsid w:val="61AD1BC1"/>
    <w:rsid w:val="620F48D2"/>
    <w:rsid w:val="622908C8"/>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70497201"/>
    <w:rsid w:val="70EC24B1"/>
    <w:rsid w:val="714D0F73"/>
    <w:rsid w:val="72457E9C"/>
    <w:rsid w:val="72BB015E"/>
    <w:rsid w:val="7356678C"/>
    <w:rsid w:val="73764714"/>
    <w:rsid w:val="743B50B2"/>
    <w:rsid w:val="748344DC"/>
    <w:rsid w:val="749D7B1B"/>
    <w:rsid w:val="74B861AA"/>
    <w:rsid w:val="75134281"/>
    <w:rsid w:val="75B94177"/>
    <w:rsid w:val="75ED8684"/>
    <w:rsid w:val="76E64F59"/>
    <w:rsid w:val="78341EC3"/>
    <w:rsid w:val="786F17CF"/>
    <w:rsid w:val="79167E9C"/>
    <w:rsid w:val="79A731EA"/>
    <w:rsid w:val="79D7A247"/>
    <w:rsid w:val="7A487219"/>
    <w:rsid w:val="7BF56294"/>
    <w:rsid w:val="7D1CFF4E"/>
    <w:rsid w:val="7D3D00ED"/>
    <w:rsid w:val="7DDE88B6"/>
    <w:rsid w:val="7F4B3B43"/>
    <w:rsid w:val="7F8E99C7"/>
    <w:rsid w:val="7FBF1F25"/>
    <w:rsid w:val="7FDB410D"/>
    <w:rsid w:val="99BE9CA9"/>
    <w:rsid w:val="9ECFECE1"/>
    <w:rsid w:val="AEA75CBA"/>
    <w:rsid w:val="BC9F9B7E"/>
    <w:rsid w:val="BF9B7207"/>
    <w:rsid w:val="CFFEFA98"/>
    <w:rsid w:val="EBBF1763"/>
    <w:rsid w:val="EC7F8758"/>
    <w:rsid w:val="EFFE6C76"/>
    <w:rsid w:val="F5FE10FE"/>
    <w:rsid w:val="F69F5A86"/>
    <w:rsid w:val="F9FBCF3D"/>
    <w:rsid w:val="FA79675D"/>
    <w:rsid w:val="FEFCF73C"/>
    <w:rsid w:val="FFF3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4"/>
    <w:basedOn w:val="1"/>
    <w:next w:val="1"/>
    <w:link w:val="30"/>
    <w:semiHidden/>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6">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ate1"/>
    <w:basedOn w:val="1"/>
    <w:next w:val="1"/>
    <w:qFormat/>
    <w:uiPriority w:val="0"/>
    <w:rPr>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UserStyle_8"/>
    <w:basedOn w:val="13"/>
    <w:qFormat/>
    <w:uiPriority w:val="0"/>
    <w:pPr>
      <w:spacing w:line="240" w:lineRule="auto"/>
      <w:ind w:right="-140" w:rightChars="-50" w:firstLine="1653" w:firstLineChars="588"/>
    </w:pPr>
    <w:rPr>
      <w:b/>
      <w:bCs/>
    </w:rPr>
  </w:style>
  <w:style w:type="paragraph" w:customStyle="1" w:styleId="13">
    <w:name w:val="UserStyle_9"/>
    <w:basedOn w:val="1"/>
    <w:next w:val="1"/>
    <w:qFormat/>
    <w:uiPriority w:val="0"/>
    <w:pPr>
      <w:spacing w:line="480" w:lineRule="atLeast"/>
      <w:textAlignment w:val="baseline"/>
    </w:pPr>
    <w:rPr>
      <w:rFonts w:ascii="宋体" w:hAnsi="Tms Rmn"/>
      <w:kern w:val="0"/>
      <w:sz w:val="28"/>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5">
    <w:name w:val="Body Text First Indent"/>
    <w:basedOn w:val="8"/>
    <w:next w:val="1"/>
    <w:qFormat/>
    <w:uiPriority w:val="0"/>
    <w:pPr>
      <w:ind w:firstLine="420" w:firstLineChars="100"/>
    </w:pPr>
    <w:rPr>
      <w:rFonts w:ascii="Times New Roman" w:hAnsi="Times New Roman"/>
    </w:r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正文首行缩进 21"/>
    <w:basedOn w:val="22"/>
    <w:next w:val="1"/>
    <w:qFormat/>
    <w:uiPriority w:val="0"/>
    <w:pPr>
      <w:widowControl/>
      <w:ind w:firstLine="420" w:firstLineChars="200"/>
      <w:jc w:val="left"/>
    </w:pPr>
  </w:style>
  <w:style w:type="paragraph" w:customStyle="1" w:styleId="22">
    <w:name w:val="正文文本缩进1"/>
    <w:basedOn w:val="1"/>
    <w:next w:val="6"/>
    <w:qFormat/>
    <w:uiPriority w:val="0"/>
    <w:pPr>
      <w:spacing w:after="120"/>
      <w:ind w:left="420" w:leftChars="200"/>
    </w:pPr>
    <w:rPr>
      <w:rFonts w:hint="eastAsia"/>
    </w:rPr>
  </w:style>
  <w:style w:type="paragraph" w:customStyle="1" w:styleId="23">
    <w:name w:val="报告书正文样式1"/>
    <w:basedOn w:val="24"/>
    <w:qFormat/>
    <w:uiPriority w:val="0"/>
    <w:pPr>
      <w:spacing w:line="360" w:lineRule="auto"/>
    </w:pPr>
    <w:rPr>
      <w:rFonts w:ascii="Arial" w:hAnsi="Arial" w:cs="Arial"/>
      <w:szCs w:val="24"/>
    </w:rPr>
  </w:style>
  <w:style w:type="paragraph" w:customStyle="1" w:styleId="24">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5">
    <w:name w:val="NormalCharacter"/>
    <w:qFormat/>
    <w:uiPriority w:val="0"/>
    <w:rPr>
      <w:kern w:val="2"/>
      <w:sz w:val="32"/>
      <w:szCs w:val="32"/>
      <w:lang w:val="en-US" w:eastAsia="zh-CN" w:bidi="ar-SA"/>
    </w:rPr>
  </w:style>
  <w:style w:type="paragraph" w:customStyle="1" w:styleId="26">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27">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28">
    <w:name w:val="Char"/>
    <w:basedOn w:val="1"/>
    <w:qFormat/>
    <w:uiPriority w:val="0"/>
    <w:rPr>
      <w:rFonts w:ascii="Tahoma" w:hAnsi="Tahoma"/>
      <w:sz w:val="24"/>
    </w:rPr>
  </w:style>
  <w:style w:type="character" w:customStyle="1" w:styleId="29">
    <w:name w:val="fontstyle01"/>
    <w:qFormat/>
    <w:uiPriority w:val="0"/>
    <w:rPr>
      <w:rFonts w:ascii="华文中宋" w:hAnsi="华文中宋" w:eastAsia="华文中宋" w:cs="华文中宋"/>
      <w:color w:val="000000"/>
      <w:sz w:val="32"/>
      <w:szCs w:val="32"/>
    </w:rPr>
  </w:style>
  <w:style w:type="character" w:customStyle="1" w:styleId="30">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263</Words>
  <Characters>1501</Characters>
  <Lines>12</Lines>
  <Paragraphs>3</Paragraphs>
  <TotalTime>414</TotalTime>
  <ScaleCrop>false</ScaleCrop>
  <LinksUpToDate>false</LinksUpToDate>
  <CharactersWithSpaces>1761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2023-02-28T09:52:00Z</dcterms:created>
  <dc:creator>梁靚小靚</dc:creator>
  <cp:lastModifiedBy>user</cp:lastModifiedBy>
  <cp:lastPrinted>2024-06-18T01:35:00Z</cp:lastPrinted>
  <dcterms:modified xsi:type="dcterms:W3CDTF">2025-05-29T08:58:37Z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111341F974F3F117B9762D686BD5C1B6</vt:lpwstr>
  </property>
</Properties>
</file>