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3"/>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3"/>
        <w:spacing w:before="0" w:beforeAutospacing="0" w:after="0" w:afterAutospacing="0" w:line="600" w:lineRule="exact"/>
        <w:jc w:val="both"/>
        <w:rPr>
          <w:rFonts w:ascii="Times New Roman" w:hAnsi="Times New Roman" w:eastAsia="仿宋" w:cs="Times New Roman"/>
          <w:b/>
          <w:bCs/>
          <w:color w:val="000000"/>
          <w:sz w:val="32"/>
          <w:szCs w:val="32"/>
        </w:rPr>
      </w:pPr>
    </w:p>
    <w:p>
      <w:pPr>
        <w:pStyle w:val="13"/>
        <w:spacing w:before="0" w:beforeAutospacing="0" w:after="0" w:afterAutospacing="0" w:line="600" w:lineRule="exact"/>
        <w:jc w:val="center"/>
        <w:rPr>
          <w:rFonts w:ascii="Times New Roman" w:hAnsi="Times New Roman" w:eastAsia="仿宋_GB2312" w:cs="Times New Roman"/>
          <w:color w:val="000000"/>
          <w:sz w:val="32"/>
          <w:szCs w:val="32"/>
        </w:rPr>
      </w:pPr>
    </w:p>
    <w:p>
      <w:pPr>
        <w:pStyle w:val="13"/>
        <w:spacing w:before="0" w:beforeAutospacing="0" w:after="0" w:afterAutospacing="0" w:line="600" w:lineRule="exact"/>
        <w:jc w:val="center"/>
        <w:rPr>
          <w:rFonts w:ascii="Times New Roman" w:hAnsi="Times New Roman" w:eastAsia="仿宋_GB2312" w:cs="Times New Roman"/>
          <w:color w:val="000000"/>
          <w:sz w:val="32"/>
          <w:szCs w:val="32"/>
        </w:rPr>
      </w:pPr>
    </w:p>
    <w:p>
      <w:pPr>
        <w:pStyle w:val="13"/>
        <w:spacing w:before="0" w:beforeAutospacing="0" w:after="0" w:afterAutospacing="0" w:line="600" w:lineRule="exact"/>
        <w:jc w:val="center"/>
        <w:rPr>
          <w:rFonts w:ascii="Times New Roman" w:hAnsi="Times New Roman" w:eastAsia="仿宋_GB2312" w:cs="Times New Roman"/>
          <w:color w:val="000000"/>
          <w:sz w:val="32"/>
          <w:szCs w:val="32"/>
        </w:rPr>
      </w:pPr>
    </w:p>
    <w:p>
      <w:pPr>
        <w:pStyle w:val="13"/>
        <w:spacing w:before="0" w:beforeAutospacing="0" w:after="0" w:afterAutospacing="0" w:line="600" w:lineRule="exact"/>
        <w:jc w:val="center"/>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000000"/>
          <w:sz w:val="32"/>
          <w:szCs w:val="32"/>
        </w:rPr>
        <w:t>枣环薛审字〔202</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23</w:t>
      </w:r>
    </w:p>
    <w:p>
      <w:pPr>
        <w:pStyle w:val="13"/>
        <w:tabs>
          <w:tab w:val="left" w:pos="7102"/>
        </w:tabs>
        <w:spacing w:before="0" w:beforeAutospacing="0" w:after="0" w:afterAutospacing="0" w:line="600" w:lineRule="exac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ab/>
      </w:r>
    </w:p>
    <w:p>
      <w:pPr>
        <w:widowControl/>
        <w:spacing w:line="600" w:lineRule="exact"/>
        <w:jc w:val="center"/>
        <w:rPr>
          <w:rFonts w:hint="eastAsia" w:ascii="Times New Roman" w:hAnsi="Times New Roman" w:eastAsia="方正小标宋简体"/>
          <w:sz w:val="44"/>
          <w:szCs w:val="44"/>
        </w:rPr>
      </w:pPr>
      <w:r>
        <w:rPr>
          <w:rFonts w:ascii="Times New Roman" w:hAnsi="Times New Roman" w:eastAsia="方正小标宋简体"/>
          <w:sz w:val="44"/>
          <w:szCs w:val="44"/>
        </w:rPr>
        <w:t>关于</w:t>
      </w:r>
      <w:r>
        <w:rPr>
          <w:rFonts w:hint="eastAsia" w:ascii="Times New Roman" w:hAnsi="Times New Roman" w:eastAsia="方正小标宋简体"/>
          <w:sz w:val="44"/>
          <w:szCs w:val="44"/>
        </w:rPr>
        <w:t>山东嘉吉磷化工进出口贸易有限公司</w:t>
      </w:r>
    </w:p>
    <w:p>
      <w:pPr>
        <w:widowControl/>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年产4万吨肥料生产线项目环境影响报告表的批复</w:t>
      </w:r>
    </w:p>
    <w:p>
      <w:pPr>
        <w:pStyle w:val="23"/>
        <w:tabs>
          <w:tab w:val="left" w:pos="3030"/>
        </w:tabs>
        <w:spacing w:line="600" w:lineRule="exact"/>
        <w:ind w:firstLine="640" w:firstLineChars="200"/>
        <w:rPr>
          <w:rFonts w:ascii="Times New Roman" w:hAnsi="Times New Roman" w:eastAsia="仿宋_GB2312" w:cs="Times New Roman"/>
          <w:sz w:val="32"/>
          <w:szCs w:val="32"/>
          <w:highlight w:val="yellow"/>
        </w:rPr>
      </w:pPr>
    </w:p>
    <w:p>
      <w:pPr>
        <w:pStyle w:val="23"/>
        <w:tabs>
          <w:tab w:val="left" w:pos="3030"/>
        </w:tabs>
        <w:spacing w:line="580" w:lineRule="exact"/>
        <w:ind w:firstLine="0"/>
        <w:rPr>
          <w:rFonts w:ascii="Times New Roman" w:hAnsi="Times New Roman" w:eastAsia="仿宋_GB2312" w:cs="Times New Roman"/>
          <w:sz w:val="32"/>
          <w:szCs w:val="32"/>
        </w:rPr>
      </w:pPr>
      <w:r>
        <w:rPr>
          <w:rFonts w:ascii="Times New Roman" w:hAnsi="Times New Roman" w:eastAsia="仿宋_GB2312" w:cs="Times New Roman"/>
          <w:sz w:val="32"/>
          <w:szCs w:val="32"/>
        </w:rPr>
        <w:t>山东嘉吉磷化工进出口贸易有限公司：</w:t>
      </w:r>
    </w:p>
    <w:p>
      <w:pPr>
        <w:pStyle w:val="23"/>
        <w:tabs>
          <w:tab w:val="left" w:pos="3030"/>
        </w:tab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你公司报送的《年产4万吨肥料生产线项目环境影响报告表》收悉。经研究，批复如下：</w:t>
      </w:r>
    </w:p>
    <w:p>
      <w:pPr>
        <w:pStyle w:val="23"/>
        <w:tabs>
          <w:tab w:val="left" w:pos="3030"/>
        </w:tabs>
        <w:spacing w:line="580" w:lineRule="exact"/>
        <w:ind w:firstLine="640" w:firstLineChars="200"/>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项目属于</w:t>
      </w:r>
      <w:r>
        <w:rPr>
          <w:rFonts w:hint="eastAsia" w:ascii="Times New Roman" w:hAnsi="Times New Roman" w:eastAsia="仿宋_GB2312" w:cs="Times New Roman"/>
          <w:sz w:val="32"/>
          <w:szCs w:val="32"/>
        </w:rPr>
        <w:t>新建</w:t>
      </w:r>
      <w:r>
        <w:rPr>
          <w:rFonts w:ascii="Times New Roman" w:hAnsi="Times New Roman" w:eastAsia="仿宋_GB2312" w:cs="Times New Roman"/>
          <w:sz w:val="32"/>
          <w:szCs w:val="32"/>
        </w:rPr>
        <w:t>，位于</w:t>
      </w:r>
      <w:r>
        <w:rPr>
          <w:rFonts w:hint="eastAsia" w:ascii="Times New Roman" w:hAnsi="Times New Roman" w:eastAsia="仿宋_GB2312" w:cs="Times New Roman"/>
          <w:sz w:val="32"/>
          <w:szCs w:val="32"/>
        </w:rPr>
        <w:t>枣庄市薛城区邹坞镇刘庄村东首，项目总投资3600万元，其中环保投资36万元。用地面积</w:t>
      </w:r>
      <w:r>
        <w:rPr>
          <w:rFonts w:ascii="Times New Roman" w:hAnsi="Times New Roman" w:eastAsia="仿宋_GB2312" w:cs="Times New Roman"/>
          <w:sz w:val="32"/>
          <w:szCs w:val="32"/>
        </w:rPr>
        <w:t>3430</w:t>
      </w:r>
      <w:r>
        <w:rPr>
          <w:rFonts w:hint="eastAsia" w:ascii="Times New Roman" w:hAnsi="Times New Roman" w:eastAsia="仿宋_GB2312" w:cs="Times New Roman"/>
          <w:sz w:val="32"/>
          <w:szCs w:val="32"/>
        </w:rPr>
        <w:t>平方米，购置螺旋粉碎搅拌机、圆盘造粒机、挤压造粒机、提升机、滚筒筛、烘干筒、冷却筒等设备，通过上料、破碎搅拌、造粒、烘干、冷却、筛分、包膜、包装等工序生产有机肥、硅肥、复合肥，项目建成后可达到年产1万吨硅肥、1万吨有机肥料、2万吨复合肥的生产能力。</w:t>
      </w:r>
    </w:p>
    <w:p>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项目在符合产业政策与产业发展规划</w:t>
      </w:r>
      <w:r>
        <w:rPr>
          <w:rFonts w:hint="eastAsia" w:ascii="Times New Roman" w:hAnsi="Times New Roman" w:eastAsia="仿宋_GB2312"/>
          <w:sz w:val="32"/>
          <w:szCs w:val="32"/>
        </w:rPr>
        <w:t>、</w:t>
      </w:r>
      <w:r>
        <w:rPr>
          <w:rFonts w:ascii="Times New Roman" w:hAnsi="Times New Roman" w:eastAsia="仿宋_GB2312"/>
          <w:sz w:val="32"/>
          <w:szCs w:val="32"/>
        </w:rPr>
        <w:t>选址符合城市总体规划和区域土地利用规划等前提下，根据环评报告结论</w:t>
      </w:r>
      <w:r>
        <w:rPr>
          <w:rFonts w:hint="eastAsia" w:ascii="Times New Roman" w:hAnsi="Times New Roman" w:eastAsia="仿宋_GB2312"/>
          <w:sz w:val="32"/>
          <w:szCs w:val="32"/>
        </w:rPr>
        <w:t>，</w:t>
      </w:r>
      <w:r>
        <w:rPr>
          <w:rFonts w:ascii="Times New Roman" w:hAnsi="Times New Roman" w:eastAsia="仿宋_GB2312"/>
          <w:bCs/>
          <w:sz w:val="32"/>
          <w:szCs w:val="32"/>
        </w:rPr>
        <w:t>在全面落实环境影响报告表提出的各项生态保护和污染防治措施后，工程对环境的不利影响能够得到减缓和控制。</w:t>
      </w:r>
      <w:r>
        <w:rPr>
          <w:rFonts w:ascii="Times New Roman" w:hAnsi="Times New Roman" w:eastAsia="仿宋_GB2312"/>
          <w:sz w:val="32"/>
          <w:szCs w:val="32"/>
        </w:rPr>
        <w:t>从环境保护角度分析，</w:t>
      </w:r>
      <w:r>
        <w:rPr>
          <w:rFonts w:ascii="Times New Roman" w:hAnsi="Times New Roman" w:eastAsia="仿宋_GB2312"/>
          <w:bCs/>
          <w:sz w:val="32"/>
          <w:szCs w:val="32"/>
        </w:rPr>
        <w:t>我局原则同意你公司</w:t>
      </w:r>
      <w:r>
        <w:rPr>
          <w:rFonts w:hint="eastAsia" w:ascii="Times New Roman" w:hAnsi="Times New Roman" w:eastAsia="仿宋_GB2312"/>
          <w:bCs/>
          <w:sz w:val="32"/>
          <w:szCs w:val="32"/>
        </w:rPr>
        <w:t>按照</w:t>
      </w:r>
      <w:r>
        <w:rPr>
          <w:rFonts w:ascii="Times New Roman" w:hAnsi="Times New Roman" w:eastAsia="仿宋_GB2312"/>
          <w:bCs/>
          <w:sz w:val="32"/>
          <w:szCs w:val="32"/>
        </w:rPr>
        <w:t>报告表所列地点、工艺、规模和环境保护对策措施</w:t>
      </w:r>
      <w:r>
        <w:rPr>
          <w:rFonts w:hint="eastAsia" w:ascii="Times New Roman" w:hAnsi="Times New Roman" w:eastAsia="仿宋_GB2312"/>
          <w:bCs/>
          <w:sz w:val="32"/>
          <w:szCs w:val="32"/>
        </w:rPr>
        <w:t>开展项目建设</w:t>
      </w:r>
      <w:r>
        <w:rPr>
          <w:rFonts w:ascii="Times New Roman" w:hAnsi="Times New Roman" w:eastAsia="仿宋_GB2312"/>
          <w:bCs/>
          <w:sz w:val="32"/>
          <w:szCs w:val="32"/>
        </w:rPr>
        <w:t>。</w:t>
      </w:r>
    </w:p>
    <w:p>
      <w:pPr>
        <w:pStyle w:val="23"/>
        <w:tabs>
          <w:tab w:val="left" w:pos="3030"/>
        </w:tabs>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二、项目在运营中须严格落实环境影响报告表提出的污染防治措施和以下要求：</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（一）</w:t>
      </w:r>
      <w:r>
        <w:rPr>
          <w:rFonts w:ascii="Times New Roman" w:hAnsi="Times New Roman" w:eastAsia="仿宋_GB2312"/>
          <w:sz w:val="32"/>
          <w:szCs w:val="32"/>
        </w:rPr>
        <w:t>加强施工环境管理。</w:t>
      </w:r>
      <w:r>
        <w:rPr>
          <w:rFonts w:hint="eastAsia" w:ascii="Times New Roman" w:hAnsi="Times New Roman" w:eastAsia="仿宋_GB2312"/>
          <w:sz w:val="32"/>
          <w:szCs w:val="32"/>
        </w:rPr>
        <w:t>合理安排施工时间，优化施工工艺，防止工程施工造成环境污染和生态破坏。强化施工期环境管理，合理处置施工垃圾及废水，按照《枣庄市生态环境保护委员会办公室关于印发&lt;枣庄市市直部门大气污染治理技术导则&gt;的通知》（枣环委办字〔2023〕1号）要求，采取有效措施降低施工期扬尘污染。</w:t>
      </w:r>
    </w:p>
    <w:p>
      <w:pPr>
        <w:widowControl/>
        <w:spacing w:line="580" w:lineRule="exact"/>
        <w:ind w:firstLine="640" w:firstLineChars="200"/>
        <w:rPr>
          <w:rFonts w:ascii="Times New Roman" w:hAnsi="Times New Roman" w:eastAsia="仿宋_GB2312"/>
          <w:sz w:val="32"/>
          <w:szCs w:val="32"/>
          <w:highlight w:val="yellow"/>
          <w:lang w:val="en"/>
        </w:rPr>
      </w:pPr>
      <w:r>
        <w:rPr>
          <w:rFonts w:hint="eastAsia" w:ascii="Times New Roman" w:hAnsi="Times New Roman" w:eastAsia="仿宋_GB2312"/>
          <w:sz w:val="32"/>
          <w:szCs w:val="32"/>
        </w:rPr>
        <w:t>（二）</w:t>
      </w:r>
      <w:r>
        <w:rPr>
          <w:rFonts w:ascii="Times New Roman" w:hAnsi="Times New Roman" w:eastAsia="仿宋_GB2312"/>
          <w:sz w:val="32"/>
          <w:szCs w:val="32"/>
        </w:rPr>
        <w:t>严格落实大气污染防治措施。</w:t>
      </w:r>
      <w:r>
        <w:rPr>
          <w:rFonts w:hint="eastAsia" w:ascii="Times New Roman" w:hAnsi="Times New Roman" w:eastAsia="仿宋_GB2312"/>
          <w:sz w:val="32"/>
          <w:szCs w:val="32"/>
        </w:rPr>
        <w:t>天然气燃烧机配备低氮燃烧器，天然气燃烧废气进入烘干工序与物料直接接触对物料进行烘干，烘干废气和冷却废气由密闭管道收集，有机肥投料废气、造粒废气和筛分废气经集气罩收集，收集后的废气经布袋除尘器TA001处理后通过15m高的排气筒DA001排放</w:t>
      </w:r>
      <w:r>
        <w:rPr>
          <w:rFonts w:hint="eastAsia" w:ascii="Times New Roman" w:hAnsi="Times New Roman" w:eastAsia="仿宋_GB2312"/>
          <w:sz w:val="32"/>
          <w:szCs w:val="32"/>
          <w:lang w:val="en"/>
        </w:rPr>
        <w:t>。</w:t>
      </w:r>
      <w:r>
        <w:rPr>
          <w:rFonts w:hint="eastAsia" w:ascii="Times New Roman" w:hAnsi="Times New Roman" w:eastAsia="仿宋_GB2312"/>
          <w:bCs/>
          <w:sz w:val="32"/>
          <w:szCs w:val="32"/>
        </w:rPr>
        <w:t>排气筒DA001颗粒物、二氧化硫、氮氧化物有组织</w:t>
      </w:r>
      <w:r>
        <w:rPr>
          <w:rFonts w:ascii="Times New Roman" w:hAnsi="Times New Roman" w:eastAsia="仿宋_GB2312"/>
          <w:bCs/>
          <w:sz w:val="32"/>
          <w:szCs w:val="32"/>
        </w:rPr>
        <w:t>排放浓度执行</w:t>
      </w:r>
      <w:r>
        <w:rPr>
          <w:rFonts w:hint="eastAsia" w:ascii="Times New Roman" w:hAnsi="Times New Roman" w:eastAsia="仿宋_GB2312"/>
          <w:bCs/>
          <w:sz w:val="32"/>
          <w:szCs w:val="32"/>
        </w:rPr>
        <w:t>《区域性大气污染物综合排放标准》（DB37/2376-2019）表</w:t>
      </w:r>
      <w:r>
        <w:rPr>
          <w:rFonts w:ascii="Times New Roman" w:hAnsi="Times New Roman" w:eastAsia="仿宋_GB2312"/>
          <w:bCs/>
          <w:sz w:val="32"/>
          <w:szCs w:val="32"/>
        </w:rPr>
        <w:t>1</w:t>
      </w:r>
      <w:r>
        <w:rPr>
          <w:rFonts w:hint="eastAsia" w:ascii="Times New Roman" w:hAnsi="Times New Roman" w:eastAsia="仿宋_GB2312"/>
          <w:bCs/>
          <w:sz w:val="32"/>
          <w:szCs w:val="32"/>
        </w:rPr>
        <w:t>重点控制区标准要求，排放速率执行</w:t>
      </w:r>
      <w:r>
        <w:rPr>
          <w:rFonts w:ascii="Times New Roman" w:hAnsi="Times New Roman" w:eastAsia="仿宋_GB2312"/>
          <w:bCs/>
          <w:sz w:val="32"/>
          <w:szCs w:val="32"/>
        </w:rPr>
        <w:t>《大气污染物综合排放标准》（GB16297-1996）表2</w:t>
      </w:r>
      <w:r>
        <w:rPr>
          <w:rFonts w:hint="eastAsia" w:ascii="Times New Roman" w:hAnsi="Times New Roman" w:eastAsia="仿宋_GB2312"/>
          <w:bCs/>
          <w:sz w:val="32"/>
          <w:szCs w:val="32"/>
        </w:rPr>
        <w:t>二级速率限值</w:t>
      </w:r>
      <w:r>
        <w:rPr>
          <w:rFonts w:hint="eastAsia" w:ascii="Times New Roman" w:hAnsi="Times New Roman" w:eastAsia="仿宋_GB2312"/>
          <w:sz w:val="32"/>
          <w:szCs w:val="32"/>
        </w:rPr>
        <w:t>；</w:t>
      </w:r>
      <w:r>
        <w:rPr>
          <w:rFonts w:hint="eastAsia" w:ascii="Times New Roman" w:hAnsi="Times New Roman" w:eastAsia="仿宋_GB2312"/>
          <w:bCs/>
          <w:sz w:val="32"/>
          <w:szCs w:val="32"/>
        </w:rPr>
        <w:t>排气筒DA001中</w:t>
      </w:r>
      <w:r>
        <w:rPr>
          <w:rFonts w:hint="eastAsia" w:ascii="Times New Roman" w:hAnsi="Times New Roman" w:eastAsia="仿宋_GB2312"/>
          <w:sz w:val="32"/>
          <w:szCs w:val="32"/>
        </w:rPr>
        <w:t>有</w:t>
      </w:r>
      <w:r>
        <w:rPr>
          <w:rFonts w:ascii="Times New Roman" w:hAnsi="Times New Roman" w:eastAsia="仿宋_GB2312"/>
          <w:sz w:val="32"/>
          <w:szCs w:val="32"/>
        </w:rPr>
        <w:t>组织</w:t>
      </w:r>
      <w:r>
        <w:rPr>
          <w:rFonts w:hint="eastAsia" w:ascii="Times New Roman" w:hAnsi="Times New Roman" w:eastAsia="仿宋_GB2312"/>
          <w:sz w:val="32"/>
          <w:szCs w:val="32"/>
        </w:rPr>
        <w:t>臭气浓度排放速率执行</w:t>
      </w:r>
      <w:r>
        <w:rPr>
          <w:rFonts w:ascii="Times New Roman" w:hAnsi="Times New Roman" w:eastAsia="仿宋_GB2312"/>
          <w:sz w:val="32"/>
          <w:szCs w:val="32"/>
        </w:rPr>
        <w:t>《恶臭污染物排放标准》（GB14554-93）表</w:t>
      </w:r>
      <w:r>
        <w:rPr>
          <w:rFonts w:hint="eastAsia" w:ascii="Times New Roman" w:hAnsi="Times New Roman" w:eastAsia="仿宋_GB2312"/>
          <w:sz w:val="32"/>
          <w:szCs w:val="32"/>
        </w:rPr>
        <w:t>2</w:t>
      </w:r>
      <w:r>
        <w:rPr>
          <w:rFonts w:ascii="Times New Roman" w:hAnsi="Times New Roman" w:eastAsia="仿宋_GB2312"/>
          <w:sz w:val="32"/>
          <w:szCs w:val="32"/>
        </w:rPr>
        <w:t>中</w:t>
      </w:r>
      <w:r>
        <w:rPr>
          <w:rFonts w:hint="eastAsia" w:ascii="Times New Roman" w:hAnsi="Times New Roman" w:eastAsia="仿宋_GB2312"/>
          <w:sz w:val="32"/>
          <w:szCs w:val="32"/>
        </w:rPr>
        <w:t>标准限值。</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严格落实报告表提出的无组织排放措施</w:t>
      </w:r>
      <w:r>
        <w:rPr>
          <w:rFonts w:hint="eastAsia" w:ascii="Times New Roman" w:hAnsi="Times New Roman" w:eastAsia="仿宋_GB2312"/>
          <w:sz w:val="32"/>
          <w:szCs w:val="32"/>
        </w:rPr>
        <w:t>，加强车间密闭。无组织颗粒物厂界浓度执行《大气污染物综合排放标准》（GB16297-1996）表2中颗粒物无组织排放监控浓度限值，无组织臭气浓度排放浓度执行《恶臭污染物排放标准》（GB14554-93）表1中“新建”二级标准限值。</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）严格落实水污染防治措施</w:t>
      </w:r>
      <w:r>
        <w:rPr>
          <w:rFonts w:hint="eastAsia" w:ascii="Times New Roman" w:hAnsi="Times New Roman" w:eastAsia="仿宋_GB2312"/>
          <w:sz w:val="32"/>
          <w:szCs w:val="32"/>
        </w:rPr>
        <w:t>。</w:t>
      </w:r>
      <w:r>
        <w:rPr>
          <w:rFonts w:ascii="Times New Roman" w:hAnsi="Times New Roman" w:eastAsia="仿宋_GB2312"/>
          <w:sz w:val="32"/>
          <w:szCs w:val="32"/>
        </w:rPr>
        <w:t>按照“雨污分流、清污分流、污污分流”原则完善厂区排水系统。</w:t>
      </w:r>
      <w:r>
        <w:rPr>
          <w:rFonts w:hint="eastAsia" w:ascii="Times New Roman" w:hAnsi="Times New Roman" w:eastAsia="仿宋_GB2312"/>
          <w:sz w:val="32"/>
          <w:szCs w:val="32"/>
        </w:rPr>
        <w:t>项目无生产废水排放，</w:t>
      </w:r>
      <w:r>
        <w:rPr>
          <w:rFonts w:ascii="Times New Roman" w:hAnsi="Times New Roman" w:eastAsia="仿宋_GB2312"/>
          <w:sz w:val="32"/>
          <w:szCs w:val="32"/>
        </w:rPr>
        <w:t>生活污水排入化粪池，委托环卫部门定期清运</w:t>
      </w:r>
      <w:r>
        <w:rPr>
          <w:rFonts w:hint="eastAsia" w:ascii="Times New Roman" w:hAnsi="Times New Roman" w:eastAsia="仿宋_GB2312"/>
          <w:sz w:val="32"/>
          <w:szCs w:val="32"/>
        </w:rPr>
        <w:t>。</w:t>
      </w:r>
    </w:p>
    <w:p>
      <w:pPr>
        <w:spacing w:line="580" w:lineRule="exact"/>
        <w:ind w:firstLine="640" w:firstLineChars="200"/>
        <w:rPr>
          <w:rFonts w:hint="default" w:ascii="Times New Roman" w:hAnsi="Times New Roman" w:eastAsia="仿宋_GB2312"/>
          <w:sz w:val="32"/>
          <w:szCs w:val="32"/>
          <w:lang w:val="en-US" w:eastAsia="zh-CN"/>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default" w:ascii="Times New Roman" w:hAnsi="Times New Roman" w:eastAsia="仿宋_GB2312"/>
          <w:sz w:val="32"/>
          <w:szCs w:val="32"/>
          <w:lang w:val="en-US" w:eastAsia="zh-CN"/>
        </w:rPr>
        <w:t>严格落实土壤和地下水污染防治措施。以“源头防控、分区防治、污染监控、应急响应”为原则进行地下水污染防治，强化厂区防漏及事故废水应急收集处理。及时启动应急预案和应急措施，应对土壤或地下水污染。</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）严格落实噪声污染防治措施。通过合理布局，采用防噪、降噪、选用低噪声设备，减震及厂房隔音处理等有效措施后，厂界噪声执行《工业企业厂界环境噪声排放标准》</w:t>
      </w:r>
      <w:r>
        <w:rPr>
          <w:rFonts w:hint="eastAsia" w:ascii="Times New Roman" w:hAnsi="Times New Roman" w:eastAsia="仿宋_GB2312"/>
          <w:sz w:val="32"/>
          <w:szCs w:val="32"/>
        </w:rPr>
        <w:t>（</w:t>
      </w:r>
      <w:r>
        <w:rPr>
          <w:rFonts w:ascii="Times New Roman" w:hAnsi="Times New Roman" w:eastAsia="仿宋_GB2312"/>
          <w:sz w:val="32"/>
          <w:szCs w:val="32"/>
        </w:rPr>
        <w:t>GB12348-2008</w:t>
      </w:r>
      <w:r>
        <w:rPr>
          <w:rFonts w:hint="eastAsia" w:ascii="Times New Roman" w:hAnsi="Times New Roman" w:eastAsia="仿宋_GB2312"/>
          <w:sz w:val="32"/>
          <w:szCs w:val="32"/>
        </w:rPr>
        <w:t>）</w:t>
      </w:r>
      <w:r>
        <w:rPr>
          <w:rFonts w:ascii="Times New Roman" w:hAnsi="Times New Roman" w:eastAsia="仿宋_GB2312"/>
          <w:sz w:val="32"/>
          <w:szCs w:val="32"/>
        </w:rPr>
        <w:t>中</w:t>
      </w:r>
      <w:r>
        <w:rPr>
          <w:rFonts w:hint="eastAsia" w:ascii="Times New Roman" w:hAnsi="Times New Roman" w:eastAsia="仿宋_GB2312"/>
          <w:sz w:val="32"/>
          <w:szCs w:val="32"/>
        </w:rPr>
        <w:t>2</w:t>
      </w:r>
      <w:r>
        <w:rPr>
          <w:rFonts w:ascii="Times New Roman" w:hAnsi="Times New Roman" w:eastAsia="仿宋_GB2312"/>
          <w:sz w:val="32"/>
          <w:szCs w:val="32"/>
        </w:rPr>
        <w:t>类标准。</w:t>
      </w:r>
    </w:p>
    <w:p>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）严格落实固体废物分类处置措施。</w:t>
      </w:r>
      <w:r>
        <w:rPr>
          <w:rFonts w:hint="eastAsia" w:ascii="Times New Roman" w:hAnsi="Times New Roman" w:eastAsia="仿宋_GB2312" w:cs="Times New Roman"/>
          <w:kern w:val="2"/>
          <w:sz w:val="32"/>
          <w:szCs w:val="32"/>
          <w:lang w:val="en-US" w:eastAsia="zh-CN" w:bidi="ar-SA"/>
        </w:rPr>
        <w:t>一般固体废物全部合理综合利用或回收处置，贮存过程应符合《一般工业固体废物贮存和填埋污染控制标准》(GB 18599-2020)中相应防渗漏、防雨淋、防扬尘等环境保护的要求。</w:t>
      </w:r>
      <w:r>
        <w:rPr>
          <w:rFonts w:hint="eastAsia" w:ascii="Times New Roman" w:hAnsi="Times New Roman" w:eastAsia="仿宋_GB2312"/>
          <w:sz w:val="32"/>
          <w:szCs w:val="32"/>
        </w:rPr>
        <w:t>废润滑油和废润滑油桶</w:t>
      </w:r>
      <w:r>
        <w:rPr>
          <w:rFonts w:hint="eastAsia" w:ascii="Times New Roman" w:hAnsi="Times New Roman" w:eastAsia="仿宋_GB2312" w:cs="Times New Roman"/>
          <w:kern w:val="2"/>
          <w:sz w:val="32"/>
          <w:szCs w:val="32"/>
          <w:lang w:val="en-US" w:eastAsia="zh-CN" w:bidi="ar-SA"/>
        </w:rPr>
        <w:t>等危险废物的收集、贮存和转运须达到《危险废物收集、贮存、运输技术规范》(HJ2025-2012)以及《危险废物贮存污染控制标准》 (GB18597-2023) 的相关要求，委托危废资质单位处置。</w:t>
      </w:r>
    </w:p>
    <w:p>
      <w:pPr>
        <w:spacing w:line="580" w:lineRule="exact"/>
        <w:ind w:firstLine="640" w:firstLineChars="200"/>
        <w:rPr>
          <w:rFonts w:hint="default" w:ascii="Times New Roman" w:hAnsi="Times New Roman" w:eastAsia="仿宋_GB2312"/>
          <w:sz w:val="32"/>
          <w:szCs w:val="32"/>
          <w:lang w:val="en-US" w:eastAsia="zh-CN"/>
        </w:rPr>
      </w:pPr>
      <w:r>
        <w:rPr>
          <w:rFonts w:ascii="Times New Roman" w:hAnsi="Times New Roman" w:eastAsia="仿宋_GB2312"/>
          <w:sz w:val="32"/>
          <w:szCs w:val="32"/>
        </w:rPr>
        <w:t>（</w:t>
      </w:r>
      <w:r>
        <w:rPr>
          <w:rFonts w:hint="eastAsia" w:ascii="Times New Roman" w:hAnsi="Times New Roman" w:eastAsia="仿宋_GB2312"/>
          <w:sz w:val="32"/>
          <w:szCs w:val="32"/>
        </w:rPr>
        <w:t>七</w:t>
      </w:r>
      <w:r>
        <w:rPr>
          <w:rFonts w:ascii="Times New Roman" w:hAnsi="Times New Roman" w:eastAsia="仿宋_GB2312"/>
          <w:sz w:val="32"/>
          <w:szCs w:val="32"/>
        </w:rPr>
        <w:t>）</w:t>
      </w:r>
      <w:r>
        <w:rPr>
          <w:rFonts w:hint="default" w:ascii="Times New Roman" w:hAnsi="Times New Roman" w:eastAsia="仿宋_GB2312"/>
          <w:sz w:val="32"/>
          <w:szCs w:val="32"/>
          <w:lang w:val="en-US" w:eastAsia="zh-CN"/>
        </w:rPr>
        <w:t>健全环境管理制度。按照国家和地方有关规定，规范废气治理设施标志牌，标示治理工艺流程图。落实环境影响报告表提出的环境管理及监测计划。环保设备安装“分表计电” 智能控制系统，并与生态环境部门联网。</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八</w:t>
      </w:r>
      <w:r>
        <w:rPr>
          <w:rFonts w:ascii="Times New Roman" w:hAnsi="Times New Roman" w:eastAsia="仿宋_GB2312"/>
          <w:sz w:val="32"/>
          <w:szCs w:val="32"/>
        </w:rPr>
        <w:t>）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r>
        <w:rPr>
          <w:rFonts w:hint="eastAsia" w:ascii="Times New Roman" w:hAnsi="Times New Roman" w:eastAsia="仿宋_GB2312"/>
          <w:sz w:val="32"/>
          <w:szCs w:val="32"/>
        </w:rPr>
        <w:t>。</w:t>
      </w:r>
    </w:p>
    <w:p>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rPr>
        <w:t>九）</w:t>
      </w:r>
      <w:r>
        <w:rPr>
          <w:rFonts w:ascii="Times New Roman" w:hAnsi="Times New Roman" w:eastAsia="仿宋_GB2312"/>
          <w:bCs/>
          <w:sz w:val="32"/>
          <w:szCs w:val="32"/>
        </w:rPr>
        <w:t>该项目运营后，颗粒物</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二氧化硫</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氮氧化物</w:t>
      </w:r>
      <w:r>
        <w:rPr>
          <w:rFonts w:ascii="Times New Roman" w:hAnsi="Times New Roman" w:eastAsia="仿宋_GB2312"/>
          <w:bCs/>
          <w:sz w:val="32"/>
          <w:szCs w:val="32"/>
        </w:rPr>
        <w:t>总量指标</w:t>
      </w:r>
      <w:r>
        <w:rPr>
          <w:rFonts w:hint="eastAsia" w:ascii="Times New Roman" w:hAnsi="Times New Roman" w:eastAsia="仿宋_GB2312"/>
          <w:bCs/>
          <w:sz w:val="32"/>
          <w:szCs w:val="32"/>
          <w:lang w:eastAsia="zh-CN"/>
        </w:rPr>
        <w:t>分别</w:t>
      </w:r>
      <w:r>
        <w:rPr>
          <w:rFonts w:ascii="Times New Roman" w:hAnsi="Times New Roman" w:eastAsia="仿宋_GB2312"/>
          <w:bCs/>
          <w:sz w:val="32"/>
          <w:szCs w:val="32"/>
        </w:rPr>
        <w:t>控制</w:t>
      </w:r>
      <w:r>
        <w:rPr>
          <w:rFonts w:hint="eastAsia" w:ascii="Times New Roman" w:hAnsi="Times New Roman" w:eastAsia="仿宋_GB2312"/>
          <w:bCs/>
          <w:sz w:val="32"/>
          <w:szCs w:val="32"/>
        </w:rPr>
        <w:t>在</w:t>
      </w:r>
      <w:r>
        <w:rPr>
          <w:rFonts w:ascii="Times New Roman" w:hAnsi="Times New Roman" w:eastAsia="仿宋_GB2312"/>
          <w:bCs/>
          <w:sz w:val="32"/>
          <w:szCs w:val="32"/>
        </w:rPr>
        <w:t>0.</w:t>
      </w:r>
      <w:r>
        <w:rPr>
          <w:rFonts w:hint="eastAsia" w:ascii="Times New Roman" w:hAnsi="Times New Roman" w:eastAsia="仿宋_GB2312"/>
          <w:bCs/>
          <w:sz w:val="32"/>
          <w:szCs w:val="32"/>
        </w:rPr>
        <w:t>27t/a</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0.000</w:t>
      </w:r>
      <w:r>
        <w:rPr>
          <w:rFonts w:hint="eastAsia" w:ascii="Times New Roman" w:hAnsi="Times New Roman" w:eastAsia="仿宋_GB2312"/>
          <w:bCs/>
          <w:sz w:val="32"/>
          <w:szCs w:val="32"/>
        </w:rPr>
        <w:t>1t/a</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0.000</w:t>
      </w:r>
      <w:r>
        <w:rPr>
          <w:rFonts w:hint="eastAsia" w:ascii="Times New Roman" w:hAnsi="Times New Roman" w:eastAsia="仿宋_GB2312"/>
          <w:bCs/>
          <w:sz w:val="32"/>
          <w:szCs w:val="32"/>
        </w:rPr>
        <w:t>2</w:t>
      </w:r>
      <w:r>
        <w:rPr>
          <w:rFonts w:ascii="Times New Roman" w:hAnsi="Times New Roman" w:eastAsia="仿宋_GB2312"/>
          <w:bCs/>
          <w:sz w:val="32"/>
          <w:szCs w:val="32"/>
        </w:rPr>
        <w:t>t/a以内。</w:t>
      </w:r>
    </w:p>
    <w:p>
      <w:pPr>
        <w:spacing w:line="580" w:lineRule="exact"/>
        <w:ind w:firstLine="640" w:firstLineChars="200"/>
        <w:rPr>
          <w:rStyle w:val="25"/>
          <w:rFonts w:ascii="Times New Roman" w:hAnsi="Times New Roman" w:eastAsia="仿宋_GB2312"/>
        </w:rPr>
      </w:pP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十）</w:t>
      </w:r>
      <w:r>
        <w:rPr>
          <w:rFonts w:ascii="Times New Roman" w:hAnsi="Times New Roman" w:eastAsia="仿宋_GB2312"/>
          <w:sz w:val="32"/>
          <w:szCs w:val="32"/>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r>
        <w:rPr>
          <w:rStyle w:val="25"/>
          <w:rFonts w:ascii="Times New Roman" w:hAnsi="Times New Roman" w:eastAsia="仿宋_GB2312"/>
        </w:rPr>
        <w:t>。</w:t>
      </w:r>
    </w:p>
    <w:p>
      <w:pPr>
        <w:pStyle w:val="14"/>
        <w:spacing w:after="0" w:line="580" w:lineRule="exact"/>
        <w:ind w:firstLine="640" w:firstLineChars="200"/>
        <w:rPr>
          <w:rFonts w:eastAsia="仿宋_GB2312"/>
          <w:sz w:val="32"/>
          <w:szCs w:val="32"/>
        </w:rPr>
      </w:pPr>
      <w:r>
        <w:rPr>
          <w:rFonts w:eastAsia="仿宋_GB2312"/>
          <w:sz w:val="32"/>
          <w:szCs w:val="32"/>
        </w:rPr>
        <w:t>三、严格执行配套建设的环境保护设施与主体项目同时设计、同时施工、同时投入使用的“三同时”制度，落实各项环境保护措施。项目建成后，须按规定程序</w:t>
      </w:r>
      <w:r>
        <w:rPr>
          <w:rFonts w:hint="eastAsia" w:eastAsia="仿宋_GB2312"/>
          <w:sz w:val="32"/>
          <w:szCs w:val="32"/>
        </w:rPr>
        <w:t>申领排污许可证、</w:t>
      </w:r>
      <w:r>
        <w:rPr>
          <w:rFonts w:eastAsia="仿宋_GB2312"/>
          <w:sz w:val="32"/>
          <w:szCs w:val="32"/>
        </w:rPr>
        <w:t>实施竣工环境保护验收，验收通过后，方可正式投运。</w:t>
      </w:r>
    </w:p>
    <w:p>
      <w:pPr>
        <w:pStyle w:val="14"/>
        <w:spacing w:after="0" w:line="580" w:lineRule="exact"/>
        <w:ind w:firstLine="640" w:firstLineChars="200"/>
        <w:rPr>
          <w:rFonts w:eastAsia="仿宋_GB2312"/>
          <w:sz w:val="32"/>
          <w:szCs w:val="32"/>
        </w:rPr>
      </w:pPr>
      <w:r>
        <w:rPr>
          <w:rFonts w:eastAsia="仿宋_GB2312"/>
          <w:sz w:val="32"/>
          <w:szCs w:val="32"/>
        </w:rPr>
        <w:t>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五、薛城区</w:t>
      </w:r>
      <w:r>
        <w:rPr>
          <w:rFonts w:hint="eastAsia" w:ascii="Times New Roman" w:hAnsi="Times New Roman" w:eastAsia="仿宋_GB2312"/>
          <w:sz w:val="32"/>
          <w:szCs w:val="32"/>
        </w:rPr>
        <w:t>生态</w:t>
      </w:r>
      <w:r>
        <w:rPr>
          <w:rFonts w:ascii="Times New Roman" w:hAnsi="Times New Roman" w:eastAsia="仿宋_GB2312"/>
          <w:sz w:val="32"/>
          <w:szCs w:val="32"/>
        </w:rPr>
        <w:t>环境</w:t>
      </w:r>
      <w:r>
        <w:rPr>
          <w:rFonts w:hint="eastAsia" w:ascii="Times New Roman" w:hAnsi="Times New Roman" w:eastAsia="仿宋_GB2312"/>
          <w:sz w:val="32"/>
          <w:szCs w:val="32"/>
        </w:rPr>
        <w:t>保护</w:t>
      </w:r>
      <w:r>
        <w:rPr>
          <w:rFonts w:ascii="Times New Roman" w:hAnsi="Times New Roman" w:eastAsia="仿宋_GB2312"/>
          <w:sz w:val="32"/>
          <w:szCs w:val="32"/>
        </w:rPr>
        <w:t>综合执法大队</w:t>
      </w:r>
      <w:r>
        <w:rPr>
          <w:rFonts w:hint="eastAsia" w:ascii="Times New Roman" w:hAnsi="Times New Roman" w:eastAsia="仿宋_GB2312"/>
          <w:sz w:val="32"/>
          <w:szCs w:val="32"/>
        </w:rPr>
        <w:t>、邹坞镇政府</w:t>
      </w:r>
      <w:r>
        <w:rPr>
          <w:rFonts w:ascii="Times New Roman" w:hAnsi="Times New Roman" w:eastAsia="仿宋_GB2312"/>
          <w:sz w:val="32"/>
          <w:szCs w:val="32"/>
        </w:rPr>
        <w:t>负责该项目建设</w:t>
      </w:r>
      <w:r>
        <w:rPr>
          <w:rFonts w:hint="eastAsia" w:ascii="Times New Roman" w:hAnsi="Times New Roman" w:eastAsia="仿宋_GB2312"/>
          <w:sz w:val="32"/>
          <w:szCs w:val="32"/>
        </w:rPr>
        <w:t>及</w:t>
      </w:r>
      <w:r>
        <w:rPr>
          <w:rFonts w:ascii="Times New Roman" w:hAnsi="Times New Roman" w:eastAsia="仿宋_GB2312"/>
          <w:sz w:val="32"/>
          <w:szCs w:val="32"/>
        </w:rPr>
        <w:t>运营期间的环境保护监督检查工作。</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pPr>
        <w:spacing w:line="580" w:lineRule="exact"/>
        <w:ind w:firstLine="5120" w:firstLineChars="1600"/>
        <w:jc w:val="right"/>
        <w:rPr>
          <w:rFonts w:ascii="Times New Roman" w:hAnsi="Times New Roman" w:eastAsia="仿宋_GB2312"/>
          <w:sz w:val="32"/>
          <w:szCs w:val="32"/>
          <w:highlight w:val="yellow"/>
        </w:rPr>
      </w:pPr>
    </w:p>
    <w:p>
      <w:pPr>
        <w:spacing w:line="580" w:lineRule="exact"/>
        <w:ind w:firstLine="5120" w:firstLineChars="1600"/>
        <w:jc w:val="right"/>
        <w:rPr>
          <w:rFonts w:hint="eastAsia" w:ascii="Times New Roman" w:hAnsi="Times New Roman" w:eastAsia="仿宋_GB2312"/>
          <w:sz w:val="32"/>
          <w:szCs w:val="32"/>
        </w:rPr>
      </w:pPr>
    </w:p>
    <w:p>
      <w:pPr>
        <w:spacing w:line="580" w:lineRule="exact"/>
        <w:ind w:firstLine="5120" w:firstLineChars="1600"/>
        <w:jc w:val="right"/>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02</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sz w:val="32"/>
          <w:szCs w:val="32"/>
        </w:rPr>
        <w:t>7</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 xml:space="preserve"> </w:t>
      </w:r>
      <w:r>
        <w:rPr>
          <w:rFonts w:ascii="Times New Roman" w:hAnsi="Times New Roman" w:eastAsia="仿宋_GB2312"/>
          <w:sz w:val="32"/>
          <w:szCs w:val="32"/>
        </w:rPr>
        <w:t>日</w:t>
      </w:r>
    </w:p>
    <w:p>
      <w:pPr>
        <w:pStyle w:val="21"/>
        <w:spacing w:after="0" w:line="580" w:lineRule="exact"/>
        <w:ind w:left="0" w:leftChars="0"/>
        <w:rPr>
          <w:rFonts w:hint="default"/>
        </w:rPr>
      </w:pPr>
    </w:p>
    <w:p/>
    <w:p>
      <w:pPr>
        <w:spacing w:line="580" w:lineRule="exact"/>
        <w:rPr>
          <w:rFonts w:ascii="Times New Roman" w:hAnsi="Times New Roman" w:eastAsia="仿宋_GB2312"/>
          <w:sz w:val="32"/>
          <w:szCs w:val="32"/>
        </w:rPr>
      </w:pPr>
      <w:bookmarkStart w:id="0" w:name="_GoBack"/>
      <w:bookmarkEnd w:id="0"/>
      <w:r>
        <w:rPr>
          <w:rFonts w:ascii="Times New Roman" w:hAnsi="Times New Roman" w:eastAsia="仿宋_GB2312"/>
          <w:sz w:val="32"/>
          <w:szCs w:val="32"/>
        </w:rPr>
        <w:t>主题词：环保  环境影响评价  报告表  批复</w:t>
      </w:r>
    </w:p>
    <w:p>
      <w:pPr>
        <w:pStyle w:val="2"/>
        <w:widowControl/>
        <w:spacing w:beforeAutospacing="0" w:afterAutospacing="0" w:line="580" w:lineRule="exact"/>
        <w:rPr>
          <w:rFonts w:hint="default" w:ascii="Times New Roman" w:hAnsi="Times New Roman" w:eastAsia="仿宋_GB2312"/>
          <w:b w:val="0"/>
          <w:w w:val="95"/>
          <w:sz w:val="32"/>
          <w:szCs w:val="32"/>
        </w:rPr>
      </w:pPr>
      <w:r>
        <w:rPr>
          <w:rFonts w:hint="default" w:ascii="Times New Roman" w:hAnsi="Times New Roman" w:eastAsia="仿宋_GB2312"/>
          <w:b w:val="0"/>
          <w:w w:val="95"/>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59264;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OSnnNdIAAAAF&#10;AQAADwAAAAAAAAABACAAAAA4AAAAZHJzL2Rvd25yZXYueG1sUEsBAhQAFAAAAAgAh07iQOOoJ1nT&#10;AQAAzgMAAA4AAAAAAAAAAQAgAAAANw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eastAsia="仿宋_GB2312"/>
          <w:b w:val="0"/>
          <w:w w:val="95"/>
          <w:sz w:val="32"/>
          <w:szCs w:val="32"/>
        </w:rPr>
        <w:t>抄 送：薛城区</w:t>
      </w:r>
      <w:r>
        <w:rPr>
          <w:rFonts w:ascii="Times New Roman" w:hAnsi="Times New Roman" w:eastAsia="仿宋_GB2312"/>
          <w:b w:val="0"/>
          <w:w w:val="95"/>
          <w:sz w:val="32"/>
          <w:szCs w:val="32"/>
        </w:rPr>
        <w:t>生态</w:t>
      </w:r>
      <w:r>
        <w:rPr>
          <w:rFonts w:hint="default" w:ascii="Times New Roman" w:hAnsi="Times New Roman" w:eastAsia="仿宋_GB2312"/>
          <w:b w:val="0"/>
          <w:w w:val="95"/>
          <w:sz w:val="32"/>
          <w:szCs w:val="32"/>
        </w:rPr>
        <w:t>环境</w:t>
      </w:r>
      <w:r>
        <w:rPr>
          <w:rFonts w:ascii="Times New Roman" w:hAnsi="Times New Roman" w:eastAsia="仿宋_GB2312"/>
          <w:b w:val="0"/>
          <w:w w:val="95"/>
          <w:sz w:val="32"/>
          <w:szCs w:val="32"/>
        </w:rPr>
        <w:t>保护</w:t>
      </w:r>
      <w:r>
        <w:rPr>
          <w:rFonts w:hint="default" w:ascii="Times New Roman" w:hAnsi="Times New Roman" w:eastAsia="仿宋_GB2312"/>
          <w:b w:val="0"/>
          <w:w w:val="95"/>
          <w:sz w:val="32"/>
          <w:szCs w:val="32"/>
        </w:rPr>
        <w:t>综合执法大队、</w:t>
      </w:r>
      <w:r>
        <w:rPr>
          <w:rFonts w:ascii="Times New Roman" w:hAnsi="Times New Roman" w:eastAsia="仿宋_GB2312"/>
          <w:b w:val="0"/>
          <w:w w:val="95"/>
          <w:sz w:val="32"/>
          <w:szCs w:val="32"/>
        </w:rPr>
        <w:t>薛城区应急管理局、山东优合环保科技有限公司</w:t>
      </w:r>
    </w:p>
    <w:p>
      <w:pPr>
        <w:spacing w:line="580" w:lineRule="exact"/>
        <w:rPr>
          <w:rFonts w:ascii="Times New Roman" w:hAnsi="Times New Roman" w:eastAsia="仿宋_GB2312"/>
          <w:w w:val="95"/>
          <w:sz w:val="32"/>
          <w:szCs w:val="32"/>
        </w:rPr>
      </w:pPr>
      <w:r>
        <w:rPr>
          <w:rFonts w:ascii="Times New Roman" w:hAnsi="Times New Roman" w:eastAsia="仿宋_GB2312"/>
          <w:w w:val="95"/>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0288;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E0BA0AAAAAQB&#10;AAAPAAAAAAAAAAEAIAAAADgAAABkcnMvZG93bnJldi54bWxQSwECFAAUAAAACACHTuJAewaH19QB&#10;AADQAwAADgAAAAAAAAABACAAAAA1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枣庄市生态环境局薛城分局办公室 202</w:t>
      </w:r>
      <w:r>
        <w:rPr>
          <w:rFonts w:hint="eastAsia" w:ascii="Times New Roman" w:hAnsi="Times New Roman" w:eastAsia="仿宋_GB2312"/>
          <w:w w:val="95"/>
          <w:sz w:val="32"/>
          <w:szCs w:val="32"/>
        </w:rPr>
        <w:t>5</w:t>
      </w:r>
      <w:r>
        <w:rPr>
          <w:rFonts w:ascii="Times New Roman" w:hAnsi="Times New Roman" w:eastAsia="仿宋_GB2312"/>
          <w:w w:val="95"/>
          <w:sz w:val="32"/>
          <w:szCs w:val="32"/>
        </w:rPr>
        <w:t>年</w:t>
      </w:r>
      <w:r>
        <w:rPr>
          <w:rFonts w:hint="eastAsia" w:ascii="Times New Roman" w:hAnsi="Times New Roman" w:eastAsia="仿宋_GB2312"/>
          <w:w w:val="95"/>
          <w:sz w:val="32"/>
          <w:szCs w:val="32"/>
        </w:rPr>
        <w:t>7</w:t>
      </w:r>
      <w:r>
        <w:rPr>
          <w:rFonts w:ascii="Times New Roman" w:hAnsi="Times New Roman" w:eastAsia="仿宋_GB2312"/>
          <w:w w:val="95"/>
          <w:sz w:val="32"/>
          <w:szCs w:val="32"/>
        </w:rPr>
        <w:t>月</w:t>
      </w:r>
      <w:r>
        <w:rPr>
          <w:rFonts w:hint="eastAsia" w:ascii="Times New Roman" w:hAnsi="Times New Roman" w:eastAsia="仿宋_GB2312"/>
          <w:w w:val="95"/>
          <w:sz w:val="32"/>
          <w:szCs w:val="32"/>
          <w:lang w:val="en-US" w:eastAsia="zh-CN"/>
        </w:rPr>
        <w:t>18</w:t>
      </w:r>
      <w:r>
        <w:rPr>
          <w:rFonts w:ascii="Times New Roman" w:hAnsi="Times New Roman" w:eastAsia="仿宋_GB2312"/>
          <w:w w:val="95"/>
          <w:sz w:val="32"/>
          <w:szCs w:val="32"/>
        </w:rPr>
        <w:t>日 打印6份</w:t>
      </w: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Tms Rmn">
    <w:altName w:val="Times New Roman"/>
    <w:panose1 w:val="02020603040505020304"/>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ZDRjMTQ3OGQ3ZTE1YmQ4Y2ZhMGNmOTkwN2ZkMjAifQ=="/>
  </w:docVars>
  <w:rsids>
    <w:rsidRoot w:val="390515EE"/>
    <w:rsid w:val="00065E81"/>
    <w:rsid w:val="000E1205"/>
    <w:rsid w:val="000E65AE"/>
    <w:rsid w:val="001240E1"/>
    <w:rsid w:val="0022019B"/>
    <w:rsid w:val="002316F2"/>
    <w:rsid w:val="002410F1"/>
    <w:rsid w:val="00250F99"/>
    <w:rsid w:val="002F5D2C"/>
    <w:rsid w:val="00352179"/>
    <w:rsid w:val="00362A91"/>
    <w:rsid w:val="003A0FC6"/>
    <w:rsid w:val="003A4DB8"/>
    <w:rsid w:val="003C0F5F"/>
    <w:rsid w:val="003F7631"/>
    <w:rsid w:val="00403AF5"/>
    <w:rsid w:val="00423F8D"/>
    <w:rsid w:val="00573273"/>
    <w:rsid w:val="00594E2E"/>
    <w:rsid w:val="006504D3"/>
    <w:rsid w:val="00683D1F"/>
    <w:rsid w:val="006C26C0"/>
    <w:rsid w:val="00706158"/>
    <w:rsid w:val="00716ADB"/>
    <w:rsid w:val="0071760A"/>
    <w:rsid w:val="007D298D"/>
    <w:rsid w:val="00887E11"/>
    <w:rsid w:val="0091713C"/>
    <w:rsid w:val="00942919"/>
    <w:rsid w:val="00962BEF"/>
    <w:rsid w:val="009A4844"/>
    <w:rsid w:val="009B3079"/>
    <w:rsid w:val="00AC12D5"/>
    <w:rsid w:val="00AC6F25"/>
    <w:rsid w:val="00B26474"/>
    <w:rsid w:val="00B506CA"/>
    <w:rsid w:val="00BF065F"/>
    <w:rsid w:val="00C335BD"/>
    <w:rsid w:val="00C61870"/>
    <w:rsid w:val="00C8153A"/>
    <w:rsid w:val="00C92B0B"/>
    <w:rsid w:val="00CF6908"/>
    <w:rsid w:val="00D1225F"/>
    <w:rsid w:val="00DC1245"/>
    <w:rsid w:val="00DE387E"/>
    <w:rsid w:val="00E1475E"/>
    <w:rsid w:val="00E17FA2"/>
    <w:rsid w:val="00E81FE5"/>
    <w:rsid w:val="00EE612E"/>
    <w:rsid w:val="00F93108"/>
    <w:rsid w:val="00FC4D40"/>
    <w:rsid w:val="00FD4848"/>
    <w:rsid w:val="01161381"/>
    <w:rsid w:val="012832B8"/>
    <w:rsid w:val="0167398B"/>
    <w:rsid w:val="024B7873"/>
    <w:rsid w:val="02526DB7"/>
    <w:rsid w:val="027F090F"/>
    <w:rsid w:val="03320CA7"/>
    <w:rsid w:val="03327FC8"/>
    <w:rsid w:val="03D746CC"/>
    <w:rsid w:val="04074FB1"/>
    <w:rsid w:val="040F2FA9"/>
    <w:rsid w:val="043F474B"/>
    <w:rsid w:val="0560706F"/>
    <w:rsid w:val="06FC6923"/>
    <w:rsid w:val="07E86EA8"/>
    <w:rsid w:val="096D58B6"/>
    <w:rsid w:val="09975029"/>
    <w:rsid w:val="0A1C108A"/>
    <w:rsid w:val="0C8353F1"/>
    <w:rsid w:val="0DA516C5"/>
    <w:rsid w:val="0DAB2E51"/>
    <w:rsid w:val="0E6F0323"/>
    <w:rsid w:val="0EA004DC"/>
    <w:rsid w:val="0F2B249C"/>
    <w:rsid w:val="0F582B65"/>
    <w:rsid w:val="10060813"/>
    <w:rsid w:val="106F63B8"/>
    <w:rsid w:val="10E2302E"/>
    <w:rsid w:val="12407B2D"/>
    <w:rsid w:val="133A2D8C"/>
    <w:rsid w:val="13D64DEC"/>
    <w:rsid w:val="15543DCE"/>
    <w:rsid w:val="15C57534"/>
    <w:rsid w:val="16A86180"/>
    <w:rsid w:val="16B234A2"/>
    <w:rsid w:val="16B72867"/>
    <w:rsid w:val="170B2BB3"/>
    <w:rsid w:val="17127A9D"/>
    <w:rsid w:val="17C70888"/>
    <w:rsid w:val="17D86F39"/>
    <w:rsid w:val="183C2926"/>
    <w:rsid w:val="1912647A"/>
    <w:rsid w:val="19792055"/>
    <w:rsid w:val="1A0C7E93"/>
    <w:rsid w:val="1B574618"/>
    <w:rsid w:val="1E0C793C"/>
    <w:rsid w:val="1F2F1715"/>
    <w:rsid w:val="1FEF468D"/>
    <w:rsid w:val="204F138A"/>
    <w:rsid w:val="21132D8F"/>
    <w:rsid w:val="21441995"/>
    <w:rsid w:val="21537630"/>
    <w:rsid w:val="23940C18"/>
    <w:rsid w:val="23AA1069"/>
    <w:rsid w:val="23DA5DE6"/>
    <w:rsid w:val="246A53BC"/>
    <w:rsid w:val="24B91EA0"/>
    <w:rsid w:val="254D1BE4"/>
    <w:rsid w:val="26C16D50"/>
    <w:rsid w:val="26C863CA"/>
    <w:rsid w:val="28B22E8E"/>
    <w:rsid w:val="2906380E"/>
    <w:rsid w:val="299B1B74"/>
    <w:rsid w:val="2B0032AF"/>
    <w:rsid w:val="2CF75313"/>
    <w:rsid w:val="2DAC07F4"/>
    <w:rsid w:val="2DAE64B5"/>
    <w:rsid w:val="2E6115DE"/>
    <w:rsid w:val="2ECF0551"/>
    <w:rsid w:val="2FEA73B1"/>
    <w:rsid w:val="30F229C1"/>
    <w:rsid w:val="311A5A74"/>
    <w:rsid w:val="32FD4C60"/>
    <w:rsid w:val="334E5EA9"/>
    <w:rsid w:val="339064C2"/>
    <w:rsid w:val="345710F9"/>
    <w:rsid w:val="37144DE7"/>
    <w:rsid w:val="373C4996"/>
    <w:rsid w:val="390515EE"/>
    <w:rsid w:val="3A9B7C26"/>
    <w:rsid w:val="3ACE7FFB"/>
    <w:rsid w:val="3B027CA5"/>
    <w:rsid w:val="3B497682"/>
    <w:rsid w:val="3C2459F9"/>
    <w:rsid w:val="3D791D75"/>
    <w:rsid w:val="3F051B12"/>
    <w:rsid w:val="40122635"/>
    <w:rsid w:val="405014B2"/>
    <w:rsid w:val="41AD023F"/>
    <w:rsid w:val="41DB1250"/>
    <w:rsid w:val="41F8595E"/>
    <w:rsid w:val="422E5823"/>
    <w:rsid w:val="43C318BF"/>
    <w:rsid w:val="43FD725B"/>
    <w:rsid w:val="44507CD3"/>
    <w:rsid w:val="44BD5C19"/>
    <w:rsid w:val="45120AE5"/>
    <w:rsid w:val="45966E3A"/>
    <w:rsid w:val="45A91659"/>
    <w:rsid w:val="45AD6A5F"/>
    <w:rsid w:val="45E5397D"/>
    <w:rsid w:val="47C36A0E"/>
    <w:rsid w:val="47DF396E"/>
    <w:rsid w:val="48B0455C"/>
    <w:rsid w:val="48F549A5"/>
    <w:rsid w:val="49105C83"/>
    <w:rsid w:val="4A3E412A"/>
    <w:rsid w:val="4AC16991"/>
    <w:rsid w:val="4ACA1E61"/>
    <w:rsid w:val="4AF04227"/>
    <w:rsid w:val="4BD05255"/>
    <w:rsid w:val="4C331E97"/>
    <w:rsid w:val="4C46376A"/>
    <w:rsid w:val="4C465518"/>
    <w:rsid w:val="4C505F95"/>
    <w:rsid w:val="4D4B1038"/>
    <w:rsid w:val="50175FC5"/>
    <w:rsid w:val="50795EBC"/>
    <w:rsid w:val="50964CC0"/>
    <w:rsid w:val="509E1DC6"/>
    <w:rsid w:val="5160707C"/>
    <w:rsid w:val="51676C37"/>
    <w:rsid w:val="51B178D7"/>
    <w:rsid w:val="51ED53F0"/>
    <w:rsid w:val="53C438F2"/>
    <w:rsid w:val="547C241E"/>
    <w:rsid w:val="54F2623D"/>
    <w:rsid w:val="556F11EF"/>
    <w:rsid w:val="5591373D"/>
    <w:rsid w:val="56116B96"/>
    <w:rsid w:val="56680EAC"/>
    <w:rsid w:val="57A53A3A"/>
    <w:rsid w:val="583B7EFB"/>
    <w:rsid w:val="585D2567"/>
    <w:rsid w:val="59B83EF9"/>
    <w:rsid w:val="5A025174"/>
    <w:rsid w:val="5ACB7C5C"/>
    <w:rsid w:val="5BEC62F7"/>
    <w:rsid w:val="5CAE15E3"/>
    <w:rsid w:val="5DF254FF"/>
    <w:rsid w:val="5DF5284C"/>
    <w:rsid w:val="5E5F0DE7"/>
    <w:rsid w:val="600A6B30"/>
    <w:rsid w:val="61AD1BC1"/>
    <w:rsid w:val="620F48D2"/>
    <w:rsid w:val="626F711E"/>
    <w:rsid w:val="62816E52"/>
    <w:rsid w:val="62A82630"/>
    <w:rsid w:val="630006BE"/>
    <w:rsid w:val="63DF02D4"/>
    <w:rsid w:val="64485E79"/>
    <w:rsid w:val="64CE2822"/>
    <w:rsid w:val="659D21F5"/>
    <w:rsid w:val="65C729A5"/>
    <w:rsid w:val="6764121C"/>
    <w:rsid w:val="679B2764"/>
    <w:rsid w:val="685F3791"/>
    <w:rsid w:val="68B65AA7"/>
    <w:rsid w:val="69E20B7D"/>
    <w:rsid w:val="6B8A5576"/>
    <w:rsid w:val="6BEE5558"/>
    <w:rsid w:val="6D437B25"/>
    <w:rsid w:val="6D8F2D6B"/>
    <w:rsid w:val="6DAA54AF"/>
    <w:rsid w:val="6F742218"/>
    <w:rsid w:val="70497201"/>
    <w:rsid w:val="70EC24B1"/>
    <w:rsid w:val="714D0F73"/>
    <w:rsid w:val="72457E9C"/>
    <w:rsid w:val="72BB015E"/>
    <w:rsid w:val="7356678C"/>
    <w:rsid w:val="73764714"/>
    <w:rsid w:val="743B50B2"/>
    <w:rsid w:val="748344DC"/>
    <w:rsid w:val="749D7B1B"/>
    <w:rsid w:val="74B861AA"/>
    <w:rsid w:val="75134281"/>
    <w:rsid w:val="75B94177"/>
    <w:rsid w:val="76E64F59"/>
    <w:rsid w:val="78341EC3"/>
    <w:rsid w:val="786F17CF"/>
    <w:rsid w:val="79167E9C"/>
    <w:rsid w:val="79A731EA"/>
    <w:rsid w:val="79D7A247"/>
    <w:rsid w:val="7A487219"/>
    <w:rsid w:val="7BF56294"/>
    <w:rsid w:val="7D1CFF4E"/>
    <w:rsid w:val="7D3D00ED"/>
    <w:rsid w:val="7DDE88B6"/>
    <w:rsid w:val="7F4B3B43"/>
    <w:rsid w:val="7F8E99C7"/>
    <w:rsid w:val="7FDB410D"/>
    <w:rsid w:val="99BE9CA9"/>
    <w:rsid w:val="9ECFECE1"/>
    <w:rsid w:val="AEA75CBA"/>
    <w:rsid w:val="BF9B7207"/>
    <w:rsid w:val="CFFEFA98"/>
    <w:rsid w:val="EBBF1763"/>
    <w:rsid w:val="EFFE6C76"/>
    <w:rsid w:val="F5FE10FE"/>
    <w:rsid w:val="F69F5A86"/>
    <w:rsid w:val="F7FF2F81"/>
    <w:rsid w:val="F9FBCF3D"/>
    <w:rsid w:val="FA79675D"/>
    <w:rsid w:val="FEFCF73C"/>
    <w:rsid w:val="FFBEA4BE"/>
    <w:rsid w:val="FFF34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4"/>
    <w:basedOn w:val="1"/>
    <w:next w:val="1"/>
    <w:link w:val="30"/>
    <w:semiHidden/>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5">
    <w:name w:val="annotation text"/>
    <w:basedOn w:val="1"/>
    <w:semiHidden/>
    <w:qFormat/>
    <w:uiPriority w:val="0"/>
    <w:pPr>
      <w:jc w:val="left"/>
    </w:pPr>
  </w:style>
  <w:style w:type="paragraph" w:styleId="6">
    <w:name w:val="Body Text"/>
    <w:basedOn w:val="1"/>
    <w:next w:val="7"/>
    <w:qFormat/>
    <w:uiPriority w:val="0"/>
    <w:pPr>
      <w:spacing w:after="120"/>
    </w:pPr>
  </w:style>
  <w:style w:type="paragraph" w:customStyle="1" w:styleId="7">
    <w:name w:val="Date1"/>
    <w:basedOn w:val="1"/>
    <w:next w:val="1"/>
    <w:qFormat/>
    <w:uiPriority w:val="0"/>
    <w:rPr>
      <w:szCs w:val="20"/>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UserStyle_8"/>
    <w:basedOn w:val="12"/>
    <w:qFormat/>
    <w:uiPriority w:val="0"/>
    <w:pPr>
      <w:spacing w:line="240" w:lineRule="auto"/>
      <w:ind w:right="-140" w:rightChars="-50" w:firstLine="1653" w:firstLineChars="588"/>
    </w:pPr>
    <w:rPr>
      <w:b/>
      <w:bCs/>
    </w:rPr>
  </w:style>
  <w:style w:type="paragraph" w:customStyle="1" w:styleId="12">
    <w:name w:val="UserStyle_9"/>
    <w:basedOn w:val="1"/>
    <w:next w:val="1"/>
    <w:qFormat/>
    <w:uiPriority w:val="0"/>
    <w:pPr>
      <w:spacing w:line="480" w:lineRule="atLeast"/>
      <w:textAlignment w:val="baseline"/>
    </w:pPr>
    <w:rPr>
      <w:rFonts w:ascii="宋体" w:hAnsi="Tms Rmn"/>
      <w:kern w:val="0"/>
      <w:sz w:val="28"/>
      <w:szCs w:val="20"/>
    </w:rPr>
  </w:style>
  <w:style w:type="paragraph" w:styleId="13">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4">
    <w:name w:val="Body Text First Indent"/>
    <w:basedOn w:val="6"/>
    <w:next w:val="1"/>
    <w:qFormat/>
    <w:uiPriority w:val="0"/>
    <w:pPr>
      <w:ind w:firstLine="420" w:firstLineChars="100"/>
    </w:pPr>
    <w:rPr>
      <w:rFonts w:ascii="Times New Roman" w:hAnsi="Times New Roman"/>
    </w:rPr>
  </w:style>
  <w:style w:type="paragraph" w:styleId="15">
    <w:name w:val="Body Text First Indent 2"/>
    <w:basedOn w:val="8"/>
    <w:qFormat/>
    <w:uiPriority w:val="0"/>
    <w:pPr>
      <w:ind w:firstLine="420"/>
    </w:p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rPr>
  </w:style>
  <w:style w:type="paragraph" w:customStyle="1" w:styleId="21">
    <w:name w:val="正文首行缩进 21"/>
    <w:basedOn w:val="22"/>
    <w:next w:val="1"/>
    <w:qFormat/>
    <w:uiPriority w:val="0"/>
    <w:pPr>
      <w:widowControl/>
      <w:ind w:firstLine="420" w:firstLineChars="200"/>
      <w:jc w:val="left"/>
    </w:pPr>
  </w:style>
  <w:style w:type="paragraph" w:customStyle="1" w:styleId="22">
    <w:name w:val="正文文本缩进1"/>
    <w:basedOn w:val="1"/>
    <w:next w:val="4"/>
    <w:qFormat/>
    <w:uiPriority w:val="0"/>
    <w:pPr>
      <w:spacing w:after="120"/>
      <w:ind w:left="420" w:leftChars="200"/>
    </w:pPr>
    <w:rPr>
      <w:rFonts w:hint="eastAsia"/>
    </w:rPr>
  </w:style>
  <w:style w:type="paragraph" w:customStyle="1" w:styleId="23">
    <w:name w:val="报告书正文样式1"/>
    <w:basedOn w:val="24"/>
    <w:qFormat/>
    <w:uiPriority w:val="0"/>
    <w:pPr>
      <w:spacing w:line="360" w:lineRule="auto"/>
    </w:pPr>
    <w:rPr>
      <w:rFonts w:ascii="Arial" w:hAnsi="Arial" w:cs="Arial"/>
      <w:szCs w:val="24"/>
    </w:rPr>
  </w:style>
  <w:style w:type="paragraph" w:customStyle="1" w:styleId="24">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5">
    <w:name w:val="NormalCharacter"/>
    <w:qFormat/>
    <w:uiPriority w:val="0"/>
    <w:rPr>
      <w:kern w:val="2"/>
      <w:sz w:val="32"/>
      <w:szCs w:val="32"/>
      <w:lang w:val="en-US" w:eastAsia="zh-CN" w:bidi="ar-SA"/>
    </w:rPr>
  </w:style>
  <w:style w:type="paragraph" w:customStyle="1" w:styleId="26">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27">
    <w:name w:val="li_正文"/>
    <w:basedOn w:val="1"/>
    <w:qFormat/>
    <w:uiPriority w:val="0"/>
    <w:pPr>
      <w:adjustRightInd w:val="0"/>
      <w:snapToGrid w:val="0"/>
      <w:spacing w:line="360" w:lineRule="auto"/>
      <w:ind w:firstLine="200" w:firstLineChars="200"/>
      <w:jc w:val="left"/>
    </w:pPr>
    <w:rPr>
      <w:rFonts w:ascii="宋体"/>
      <w:sz w:val="24"/>
      <w:szCs w:val="28"/>
    </w:rPr>
  </w:style>
  <w:style w:type="paragraph" w:customStyle="1" w:styleId="28">
    <w:name w:val="Char"/>
    <w:basedOn w:val="1"/>
    <w:qFormat/>
    <w:uiPriority w:val="0"/>
    <w:rPr>
      <w:rFonts w:ascii="Tahoma" w:hAnsi="Tahoma"/>
      <w:sz w:val="24"/>
    </w:rPr>
  </w:style>
  <w:style w:type="character" w:customStyle="1" w:styleId="29">
    <w:name w:val="fontstyle01"/>
    <w:qFormat/>
    <w:uiPriority w:val="0"/>
    <w:rPr>
      <w:rFonts w:ascii="华文中宋" w:hAnsi="华文中宋" w:eastAsia="华文中宋" w:cs="华文中宋"/>
      <w:color w:val="000000"/>
      <w:sz w:val="32"/>
      <w:szCs w:val="32"/>
    </w:rPr>
  </w:style>
  <w:style w:type="character" w:customStyle="1" w:styleId="30">
    <w:name w:val="标题 4 字符"/>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370</Words>
  <Characters>2109</Characters>
  <Lines>17</Lines>
  <Paragraphs>4</Paragraphs>
  <TotalTime>1</TotalTime>
  <ScaleCrop>false</ScaleCrop>
  <LinksUpToDate>false</LinksUpToDate>
  <CharactersWithSpaces>2475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2023-02-28T17:52:00Z</dcterms:created>
  <dc:creator>梁靚小靚</dc:creator>
  <cp:lastModifiedBy>user</cp:lastModifiedBy>
  <cp:lastPrinted>2025-07-18T09:14:30Z</cp:lastPrinted>
  <dcterms:modified xsi:type="dcterms:W3CDTF">2025-07-18T09:18:07Z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43D6EB2470A04C05AF5F4AE651BDD8E9</vt:lpwstr>
  </property>
</Properties>
</file>