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autoSpaceDE/>
        <w:autoSpaceDN/>
        <w:bidi w:val="0"/>
        <w:spacing w:before="0" w:beforeLines="0" w:beforeAutospacing="0" w:after="0" w:afterLines="0" w:afterAutospacing="0" w:line="600" w:lineRule="exact"/>
        <w:ind w:left="0" w:leftChars="0"/>
        <w:jc w:val="center"/>
        <w:rPr>
          <w:rFonts w:hint="default" w:ascii="Times New Roman" w:hAnsi="Times New Roman" w:eastAsia="仿宋" w:cs="Times New Roman"/>
          <w:b/>
          <w:bCs/>
          <w:color w:val="000000"/>
          <w:sz w:val="32"/>
          <w:szCs w:val="32"/>
        </w:rPr>
      </w:pPr>
    </w:p>
    <w:p>
      <w:pPr>
        <w:pStyle w:val="12"/>
        <w:keepNext w:val="0"/>
        <w:keepLines w:val="0"/>
        <w:pageBreakBefore w:val="0"/>
        <w:kinsoku/>
        <w:wordWrap/>
        <w:overflowPunct/>
        <w:topLinePunct w:val="0"/>
        <w:autoSpaceDE/>
        <w:autoSpaceDN/>
        <w:bidi w:val="0"/>
        <w:spacing w:before="0" w:beforeLines="0" w:beforeAutospacing="0" w:after="0" w:afterLines="0" w:afterAutospacing="0" w:line="600" w:lineRule="exact"/>
        <w:ind w:left="0" w:leftChars="0"/>
        <w:jc w:val="center"/>
        <w:rPr>
          <w:rFonts w:hint="default" w:ascii="Times New Roman" w:hAnsi="Times New Roman" w:eastAsia="仿宋" w:cs="Times New Roman"/>
          <w:b/>
          <w:bCs/>
          <w:color w:val="000000"/>
          <w:sz w:val="32"/>
          <w:szCs w:val="32"/>
        </w:rPr>
      </w:pPr>
    </w:p>
    <w:p>
      <w:pPr>
        <w:pStyle w:val="12"/>
        <w:keepNext w:val="0"/>
        <w:keepLines w:val="0"/>
        <w:pageBreakBefore w:val="0"/>
        <w:kinsoku/>
        <w:wordWrap/>
        <w:overflowPunct/>
        <w:topLinePunct w:val="0"/>
        <w:autoSpaceDE/>
        <w:autoSpaceDN/>
        <w:bidi w:val="0"/>
        <w:spacing w:before="0" w:beforeLines="0" w:beforeAutospacing="0" w:after="0" w:afterLines="0" w:afterAutospacing="0" w:line="600" w:lineRule="exact"/>
        <w:ind w:left="0" w:leftChars="0"/>
        <w:jc w:val="center"/>
        <w:rPr>
          <w:rFonts w:hint="default" w:ascii="Times New Roman" w:hAnsi="Times New Roman" w:eastAsia="仿宋" w:cs="Times New Roman"/>
          <w:b/>
          <w:bCs/>
          <w:color w:val="000000"/>
          <w:sz w:val="32"/>
          <w:szCs w:val="32"/>
        </w:rPr>
      </w:pPr>
    </w:p>
    <w:p>
      <w:pPr>
        <w:pStyle w:val="12"/>
        <w:keepNext w:val="0"/>
        <w:keepLines w:val="0"/>
        <w:pageBreakBefore w:val="0"/>
        <w:kinsoku/>
        <w:wordWrap/>
        <w:overflowPunct/>
        <w:topLinePunct w:val="0"/>
        <w:autoSpaceDE/>
        <w:autoSpaceDN/>
        <w:bidi w:val="0"/>
        <w:spacing w:before="0" w:beforeLines="0" w:beforeAutospacing="0" w:after="0" w:afterLines="0" w:afterAutospacing="0" w:line="600" w:lineRule="exact"/>
        <w:ind w:left="0" w:leftChars="0"/>
        <w:jc w:val="center"/>
        <w:rPr>
          <w:rFonts w:hint="default" w:ascii="Times New Roman" w:hAnsi="Times New Roman" w:eastAsia="仿宋" w:cs="Times New Roman"/>
          <w:b/>
          <w:bCs/>
          <w:color w:val="000000"/>
          <w:sz w:val="32"/>
          <w:szCs w:val="32"/>
        </w:rPr>
      </w:pPr>
    </w:p>
    <w:p>
      <w:pPr>
        <w:pStyle w:val="12"/>
        <w:keepNext w:val="0"/>
        <w:keepLines w:val="0"/>
        <w:pageBreakBefore w:val="0"/>
        <w:kinsoku/>
        <w:wordWrap/>
        <w:overflowPunct/>
        <w:topLinePunct w:val="0"/>
        <w:autoSpaceDE/>
        <w:autoSpaceDN/>
        <w:bidi w:val="0"/>
        <w:spacing w:before="0" w:beforeLines="0" w:beforeAutospacing="0" w:after="0" w:afterLines="0" w:afterAutospacing="0" w:line="600" w:lineRule="exact"/>
        <w:ind w:left="0" w:leftChars="0"/>
        <w:jc w:val="both"/>
        <w:rPr>
          <w:rFonts w:hint="default" w:ascii="Times New Roman" w:hAnsi="Times New Roman" w:eastAsia="仿宋" w:cs="Times New Roman"/>
          <w:b/>
          <w:bCs/>
          <w:color w:val="000000"/>
          <w:sz w:val="32"/>
          <w:szCs w:val="32"/>
        </w:rPr>
      </w:pPr>
    </w:p>
    <w:p>
      <w:pPr>
        <w:pStyle w:val="1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lang w:eastAsia="zh-CN"/>
        </w:rPr>
      </w:pPr>
    </w:p>
    <w:p>
      <w:pPr>
        <w:pStyle w:val="1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eastAsia="zh-CN"/>
        </w:rPr>
        <w:t>枣</w:t>
      </w:r>
      <w:r>
        <w:rPr>
          <w:rFonts w:hint="default" w:ascii="Times New Roman" w:hAnsi="Times New Roman" w:eastAsia="仿宋_GB2312" w:cs="Times New Roman"/>
          <w:b w:val="0"/>
          <w:bCs w:val="0"/>
          <w:color w:val="000000"/>
          <w:sz w:val="32"/>
          <w:szCs w:val="32"/>
        </w:rPr>
        <w:t>环</w:t>
      </w:r>
      <w:r>
        <w:rPr>
          <w:rFonts w:hint="default" w:ascii="Times New Roman" w:hAnsi="Times New Roman" w:eastAsia="仿宋_GB2312" w:cs="Times New Roman"/>
          <w:b w:val="0"/>
          <w:bCs w:val="0"/>
          <w:color w:val="000000"/>
          <w:sz w:val="32"/>
          <w:szCs w:val="32"/>
          <w:lang w:eastAsia="zh-CN"/>
        </w:rPr>
        <w:t>薛</w:t>
      </w:r>
      <w:r>
        <w:rPr>
          <w:rFonts w:hint="default" w:ascii="Times New Roman" w:hAnsi="Times New Roman" w:eastAsia="仿宋_GB2312" w:cs="Times New Roman"/>
          <w:b w:val="0"/>
          <w:bCs w:val="0"/>
          <w:color w:val="000000"/>
          <w:sz w:val="32"/>
          <w:szCs w:val="32"/>
        </w:rPr>
        <w:t>审字〔20</w:t>
      </w:r>
      <w:r>
        <w:rPr>
          <w:rFonts w:hint="default" w:ascii="Times New Roman" w:hAnsi="Times New Roman" w:eastAsia="仿宋_GB2312" w:cs="Times New Roman"/>
          <w:b w:val="0"/>
          <w:bCs w:val="0"/>
          <w:color w:val="000000"/>
          <w:sz w:val="32"/>
          <w:szCs w:val="32"/>
          <w:lang w:val="en-US" w:eastAsia="zh-CN"/>
        </w:rPr>
        <w:t>2</w:t>
      </w:r>
      <w:r>
        <w:rPr>
          <w:rFonts w:hint="default" w:ascii="Times New Roman" w:hAnsi="Times New Roman" w:eastAsia="仿宋_GB2312" w:cs="Times New Roman"/>
          <w:b w:val="0"/>
          <w:bCs w:val="0"/>
          <w:color w:val="000000"/>
          <w:sz w:val="32"/>
          <w:szCs w:val="32"/>
          <w:lang w:eastAsia="zh-CN"/>
        </w:rPr>
        <w:t>5</w:t>
      </w:r>
      <w:r>
        <w:rPr>
          <w:rFonts w:hint="default" w:ascii="Times New Roman" w:hAnsi="Times New Roman" w:eastAsia="仿宋_GB2312" w:cs="Times New Roman"/>
          <w:b w:val="0"/>
          <w:bCs w:val="0"/>
          <w:color w:val="000000"/>
          <w:sz w:val="32"/>
          <w:szCs w:val="32"/>
        </w:rPr>
        <w:t>〕B</w:t>
      </w:r>
      <w:r>
        <w:rPr>
          <w:rFonts w:hint="default"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lang w:eastAsia="zh-CN"/>
        </w:rPr>
        <w:t>2</w:t>
      </w:r>
      <w:r>
        <w:rPr>
          <w:rFonts w:hint="eastAsia" w:ascii="Times New Roman" w:hAnsi="Times New Roman" w:eastAsia="仿宋_GB2312" w:cs="Times New Roman"/>
          <w:b w:val="0"/>
          <w:bCs w:val="0"/>
          <w:color w:val="000000"/>
          <w:sz w:val="32"/>
          <w:szCs w:val="32"/>
          <w:lang w:val="en-US" w:eastAsia="zh-CN"/>
        </w:rPr>
        <w:t>4</w:t>
      </w:r>
    </w:p>
    <w:p>
      <w:pPr>
        <w:pStyle w:val="1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center"/>
        <w:textAlignment w:val="auto"/>
        <w:outlineLvl w:val="9"/>
        <w:rPr>
          <w:rFonts w:hint="default" w:ascii="Times New Roman" w:hAnsi="Times New Roman" w:eastAsia="仿宋_GB2312" w:cs="Times New Roman"/>
          <w:b w:val="0"/>
          <w:bCs w:val="0"/>
          <w:color w:val="000000"/>
          <w:sz w:val="32"/>
          <w:szCs w:val="32"/>
          <w:lang w:eastAsia="zh-CN"/>
        </w:rPr>
      </w:pPr>
    </w:p>
    <w:p>
      <w:pPr>
        <w:keepNext w:val="0"/>
        <w:keepLines w:val="0"/>
        <w:pageBreakBefore w:val="0"/>
        <w:widowControl w:val="0"/>
        <w:kinsoku/>
        <w:wordWrap/>
        <w:overflowPunct/>
        <w:topLinePunct w:val="0"/>
        <w:autoSpaceDE/>
        <w:autoSpaceDN/>
        <w:bidi w:val="0"/>
        <w:spacing w:beforeAutospacing="0" w:afterAutospacing="0" w:line="600" w:lineRule="exact"/>
        <w:ind w:left="0" w:left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关于山东奥瑞金新能源有限公司</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新能源电池精密结构件项目</w:t>
      </w:r>
      <w:r>
        <w:rPr>
          <w:rFonts w:hint="default" w:ascii="Times New Roman" w:hAnsi="Times New Roman" w:eastAsia="方正小标宋简体" w:cs="Times New Roman"/>
          <w:color w:val="auto"/>
          <w:sz w:val="44"/>
          <w:szCs w:val="44"/>
          <w:lang w:eastAsia="zh-CN"/>
        </w:rPr>
        <w:t>-重新报批</w:t>
      </w:r>
      <w:r>
        <w:rPr>
          <w:rFonts w:hint="default" w:ascii="Times New Roman" w:hAnsi="Times New Roman" w:eastAsia="方正小标宋简体" w:cs="Times New Roman"/>
          <w:color w:val="auto"/>
          <w:sz w:val="44"/>
          <w:szCs w:val="44"/>
        </w:rPr>
        <w:t>环境影响报告表的批复</w:t>
      </w:r>
    </w:p>
    <w:p>
      <w:pPr>
        <w:keepNext w:val="0"/>
        <w:keepLines w:val="0"/>
        <w:pageBreakBefore w:val="0"/>
        <w:widowControl w:val="0"/>
        <w:kinsoku/>
        <w:wordWrap/>
        <w:overflowPunct/>
        <w:topLinePunct w:val="0"/>
        <w:autoSpaceDE/>
        <w:autoSpaceDN/>
        <w:bidi w:val="0"/>
        <w:spacing w:beforeAutospacing="0" w:afterAutospacing="0" w:line="600" w:lineRule="exact"/>
        <w:ind w:left="0" w:leftChars="0"/>
        <w:jc w:val="center"/>
        <w:rPr>
          <w:rFonts w:hint="default" w:ascii="Times New Roman" w:hAnsi="Times New Roman" w:eastAsia="仿宋_GB2312" w:cs="Times New Roman"/>
          <w:color w:val="auto"/>
        </w:rPr>
      </w:pPr>
    </w:p>
    <w:p>
      <w:pPr>
        <w:keepNext w:val="0"/>
        <w:keepLines w:val="0"/>
        <w:pageBreakBefore w:val="0"/>
        <w:widowControl w:val="0"/>
        <w:kinsoku/>
        <w:wordWrap/>
        <w:overflowPunct/>
        <w:topLinePunct w:val="0"/>
        <w:autoSpaceDE/>
        <w:autoSpaceDN/>
        <w:bidi w:val="0"/>
        <w:spacing w:beforeAutospacing="0" w:afterAutospacing="0" w:line="560" w:lineRule="exact"/>
        <w:ind w:left="0" w:leftChars="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山东奥瑞金新能源有限公司： </w:t>
      </w:r>
    </w:p>
    <w:p>
      <w:pPr>
        <w:keepNext w:val="0"/>
        <w:keepLines w:val="0"/>
        <w:pageBreakBefore w:val="0"/>
        <w:widowControl w:val="0"/>
        <w:kinsoku/>
        <w:wordWrap/>
        <w:overflowPunct/>
        <w:topLinePunct w:val="0"/>
        <w:autoSpaceDE/>
        <w:autoSpaceDN/>
        <w:bidi w:val="0"/>
        <w:spacing w:beforeAutospacing="0" w:afterAutospacing="0" w:line="560" w:lineRule="exact"/>
        <w:ind w:left="0" w:leftChars="0"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你公司报送的《山东奥瑞金新能源有限公司新能源电池精密结构件项目</w:t>
      </w:r>
      <w:r>
        <w:rPr>
          <w:rFonts w:hint="default" w:ascii="Times New Roman" w:hAnsi="Times New Roman" w:eastAsia="仿宋_GB2312" w:cs="Times New Roman"/>
          <w:color w:val="auto"/>
          <w:sz w:val="32"/>
          <w:szCs w:val="32"/>
          <w:highlight w:val="none"/>
          <w:lang w:eastAsia="zh-CN"/>
        </w:rPr>
        <w:t>-重新报批</w:t>
      </w:r>
      <w:r>
        <w:rPr>
          <w:rFonts w:hint="default" w:ascii="Times New Roman" w:hAnsi="Times New Roman" w:eastAsia="仿宋_GB2312" w:cs="Times New Roman"/>
          <w:color w:val="auto"/>
          <w:sz w:val="32"/>
          <w:szCs w:val="32"/>
          <w:highlight w:val="none"/>
        </w:rPr>
        <w:t>环境影响报告表》收悉。经研究，批复如下：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一、项目属于新建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重新报批，位于陶庄镇青岛啤酒(枣庄)有限公司西临、奥瑞金(枣庄)包装有限公司院内，总占地面积5600平方米，总投资20037万元，其中环保投资200万元。项目依托现有生产车间和组装车间，</w:t>
      </w:r>
      <w:r>
        <w:rPr>
          <w:rFonts w:hint="default" w:ascii="Times New Roman" w:hAnsi="Times New Roman" w:eastAsia="仿宋_GB2312" w:cs="Times New Roman"/>
          <w:color w:val="auto"/>
          <w:sz w:val="32"/>
          <w:szCs w:val="32"/>
          <w:lang w:val="en-US" w:eastAsia="zh-CN"/>
        </w:rPr>
        <w:t>购置冲床、磨床、注塑机、清洗机、焊接机等生产设备及检测设备，建设机动车零配件生产线，项目建成后可</w:t>
      </w:r>
      <w:r>
        <w:rPr>
          <w:rFonts w:hint="default" w:ascii="Times New Roman" w:hAnsi="Times New Roman" w:eastAsia="仿宋_GB2312" w:cs="Times New Roman"/>
          <w:color w:val="auto"/>
          <w:sz w:val="32"/>
          <w:szCs w:val="32"/>
          <w:lang w:eastAsia="zh-CN"/>
        </w:rPr>
        <w:t>达到</w:t>
      </w:r>
      <w:r>
        <w:rPr>
          <w:rFonts w:hint="default" w:ascii="Times New Roman" w:hAnsi="Times New Roman" w:eastAsia="仿宋_GB2312" w:cs="Times New Roman"/>
          <w:color w:val="auto"/>
          <w:sz w:val="32"/>
          <w:szCs w:val="32"/>
          <w:lang w:val="en-US" w:eastAsia="zh-CN"/>
        </w:rPr>
        <w:t>年产铝壳600万件</w:t>
      </w:r>
      <w:bookmarkStart w:id="0" w:name="OLE_LINK3"/>
      <w:r>
        <w:rPr>
          <w:rFonts w:hint="default" w:ascii="Times New Roman" w:hAnsi="Times New Roman" w:eastAsia="仿宋_GB2312" w:cs="Times New Roman"/>
          <w:color w:val="auto"/>
          <w:sz w:val="32"/>
          <w:szCs w:val="32"/>
          <w:lang w:val="en-US" w:eastAsia="zh-CN"/>
        </w:rPr>
        <w:t>/年</w:t>
      </w:r>
      <w:bookmarkEnd w:id="0"/>
      <w:r>
        <w:rPr>
          <w:rFonts w:hint="default" w:ascii="Times New Roman" w:hAnsi="Times New Roman" w:eastAsia="仿宋_GB2312" w:cs="Times New Roman"/>
          <w:color w:val="auto"/>
          <w:sz w:val="32"/>
          <w:szCs w:val="32"/>
          <w:lang w:val="en-US" w:eastAsia="zh-CN"/>
        </w:rPr>
        <w:t>、盖板600万件/年、正极转接片900万件/年、负极转接片900万件/年、弹簧托架600万件/年、弹簧托盘600万件/年、高压端子快接头600万件/年的规模</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Cs/>
          <w:sz w:val="32"/>
          <w:szCs w:val="32"/>
        </w:rPr>
      </w:pPr>
      <w:r>
        <w:rPr>
          <w:rFonts w:hint="default" w:ascii="Times New Roman" w:hAnsi="Times New Roman" w:eastAsia="仿宋_GB2312" w:cs="Times New Roman"/>
          <w:kern w:val="2"/>
          <w:sz w:val="32"/>
          <w:szCs w:val="32"/>
          <w:lang w:val="en-US" w:eastAsia="zh-CN" w:bidi="ar-SA"/>
        </w:rPr>
        <w:t>项目在符合产业政策与产业发展规划</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选址符合城市总体规划和区域土地利用规划等前提下，根据环评报告结论</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bCs/>
          <w:sz w:val="32"/>
          <w:szCs w:val="32"/>
        </w:rPr>
        <w:t>在全面落实环境影响报告表提出的各项生态保护和污染防治措施后，工程对环境的不利影响能够得到减缓和控制</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从环境保护角度分析，</w:t>
      </w:r>
      <w:r>
        <w:rPr>
          <w:rFonts w:hint="default" w:ascii="Times New Roman" w:hAnsi="Times New Roman" w:eastAsia="仿宋_GB2312" w:cs="Times New Roman"/>
          <w:bCs/>
          <w:sz w:val="32"/>
          <w:szCs w:val="32"/>
        </w:rPr>
        <w:t>我局原则同意你公司</w:t>
      </w:r>
      <w:r>
        <w:rPr>
          <w:rFonts w:hint="eastAsia" w:ascii="Times New Roman" w:hAnsi="Times New Roman" w:eastAsia="仿宋_GB2312" w:cs="Times New Roman"/>
          <w:bCs/>
          <w:sz w:val="32"/>
          <w:szCs w:val="32"/>
          <w:lang w:eastAsia="zh-CN"/>
        </w:rPr>
        <w:t>按照</w:t>
      </w:r>
      <w:r>
        <w:rPr>
          <w:rFonts w:hint="default" w:ascii="Times New Roman" w:hAnsi="Times New Roman" w:eastAsia="仿宋_GB2312" w:cs="Times New Roman"/>
          <w:bCs/>
          <w:sz w:val="32"/>
          <w:szCs w:val="32"/>
        </w:rPr>
        <w:t>报告表所列地点、工艺、规模和环境保护对策措施</w:t>
      </w:r>
      <w:r>
        <w:rPr>
          <w:rFonts w:hint="eastAsia" w:ascii="Times New Roman" w:hAnsi="Times New Roman" w:eastAsia="仿宋_GB2312" w:cs="Times New Roman"/>
          <w:bCs/>
          <w:sz w:val="32"/>
          <w:szCs w:val="32"/>
          <w:lang w:eastAsia="zh-CN"/>
        </w:rPr>
        <w:t>开展项目建设</w:t>
      </w:r>
      <w:r>
        <w:rPr>
          <w:rFonts w:hint="default" w:ascii="Times New Roman" w:hAnsi="Times New Roman" w:eastAsia="仿宋_GB2312" w:cs="Times New Roman"/>
          <w:bCs/>
          <w:sz w:val="32"/>
          <w:szCs w:val="32"/>
        </w:rPr>
        <w:t>。</w:t>
      </w:r>
    </w:p>
    <w:p>
      <w:pPr>
        <w:pStyle w:val="24"/>
        <w:keepNext w:val="0"/>
        <w:keepLines w:val="0"/>
        <w:pageBreakBefore w:val="0"/>
        <w:widowControl w:val="0"/>
        <w:tabs>
          <w:tab w:val="left" w:pos="3030"/>
        </w:tabs>
        <w:kinsoku/>
        <w:wordWrap/>
        <w:overflowPunct/>
        <w:topLinePunct w:val="0"/>
        <w:autoSpaceDE/>
        <w:autoSpaceDN/>
        <w:bidi w:val="0"/>
        <w:spacing w:beforeAutospacing="0" w:afterAutospacing="0" w:line="560" w:lineRule="exact"/>
        <w:ind w:left="0" w:leftChars="0"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二、项目在运营中须严格落实环境影响报告表提出的污染防治措施和以下要求：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Cs/>
          <w:sz w:val="32"/>
          <w:szCs w:val="32"/>
        </w:rPr>
        <w:t>（一）</w:t>
      </w:r>
      <w:r>
        <w:rPr>
          <w:rFonts w:hint="default" w:ascii="Times New Roman" w:hAnsi="Times New Roman" w:eastAsia="仿宋_GB2312" w:cs="Times New Roman"/>
          <w:color w:val="auto"/>
          <w:sz w:val="32"/>
          <w:szCs w:val="32"/>
        </w:rPr>
        <w:t>加强施工环境管理。</w:t>
      </w:r>
      <w:r>
        <w:rPr>
          <w:rFonts w:hint="eastAsia" w:ascii="Times New Roman" w:hAnsi="Times New Roman" w:eastAsia="仿宋_GB2312" w:cs="Times New Roman"/>
          <w:color w:val="auto"/>
          <w:sz w:val="32"/>
          <w:szCs w:val="32"/>
          <w:lang w:eastAsia="zh-CN"/>
        </w:rPr>
        <w:t>合理安排施工时间，优化施工工艺，防止工程施工造成环境污染和生态破坏。强化施工期环境管理，合理处置建筑垃圾、生活垃圾及施工废水，</w:t>
      </w:r>
      <w:r>
        <w:rPr>
          <w:rFonts w:hint="eastAsia" w:ascii="Times New Roman" w:hAnsi="Times New Roman" w:eastAsia="仿宋_GB2312" w:cs="Times New Roman"/>
          <w:color w:val="auto"/>
          <w:sz w:val="32"/>
          <w:szCs w:val="32"/>
          <w:lang w:val="en-US" w:eastAsia="zh-CN"/>
        </w:rPr>
        <w:t>按照《</w:t>
      </w:r>
      <w:r>
        <w:rPr>
          <w:rFonts w:hint="eastAsia" w:ascii="Times New Roman" w:hAnsi="Times New Roman" w:eastAsia="仿宋_GB2312" w:cs="Times New Roman"/>
          <w:color w:val="auto"/>
          <w:sz w:val="32"/>
          <w:szCs w:val="32"/>
          <w:lang w:eastAsia="zh-CN"/>
        </w:rPr>
        <w:t>枣</w:t>
      </w:r>
      <w:r>
        <w:rPr>
          <w:rFonts w:hint="eastAsia" w:ascii="Times New Roman" w:hAnsi="Times New Roman" w:eastAsia="仿宋_GB2312" w:cs="Times New Roman"/>
          <w:b w:val="0"/>
          <w:bCs w:val="0"/>
          <w:sz w:val="32"/>
          <w:szCs w:val="32"/>
          <w:lang w:val="en-US" w:eastAsia="zh-CN"/>
        </w:rPr>
        <w:t>庄市生态环境保护委员会办公室关于印发&lt;枣庄市市直部门大气污染治理技术导则（精简版）&gt;的通知》（枣环委办字〔2023〕1 号）要求，采取有效措施降低施工期扬尘污染。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严格落实大气污染防治措施。</w:t>
      </w:r>
      <w:r>
        <w:rPr>
          <w:rFonts w:hint="eastAsia" w:ascii="Times New Roman" w:hAnsi="Times New Roman" w:eastAsia="仿宋_GB2312" w:cs="Times New Roman"/>
          <w:b w:val="0"/>
          <w:bCs w:val="0"/>
          <w:sz w:val="32"/>
          <w:szCs w:val="32"/>
          <w:lang w:val="en-US" w:eastAsia="zh-CN"/>
        </w:rPr>
        <w:t>注塑工序产生的有机废气经活性炭吸附脱附+催化燃烧RCO装置处理后通过15m高排气筒（DA001）排放，排放浓度参照</w:t>
      </w:r>
      <w:r>
        <w:rPr>
          <w:rFonts w:hint="default" w:ascii="Times New Roman" w:hAnsi="Times New Roman" w:eastAsia="仿宋_GB2312" w:cs="Times New Roman"/>
          <w:b w:val="0"/>
          <w:bCs w:val="0"/>
          <w:sz w:val="32"/>
          <w:szCs w:val="32"/>
          <w:lang w:val="en-US" w:eastAsia="zh-CN"/>
        </w:rPr>
        <w:t>执行</w:t>
      </w:r>
      <w:r>
        <w:rPr>
          <w:rFonts w:hint="eastAsia" w:ascii="Times New Roman" w:hAnsi="Times New Roman" w:eastAsia="仿宋_GB2312" w:cs="Times New Roman"/>
          <w:b w:val="0"/>
          <w:bCs w:val="0"/>
          <w:sz w:val="32"/>
          <w:szCs w:val="32"/>
          <w:lang w:val="en-US" w:eastAsia="zh-CN"/>
        </w:rPr>
        <w:t>山东省《挥发性有机物排放标准 第 5 部分：表面涂装行业》（DB 37/ 2801.5—2018）表2排放限值</w:t>
      </w:r>
      <w:r>
        <w:rPr>
          <w:rFonts w:hint="default" w:ascii="Times New Roman" w:hAnsi="Times New Roman" w:eastAsia="仿宋_GB2312" w:cs="Times New Roman"/>
          <w:b w:val="0"/>
          <w:bCs w:val="0"/>
          <w:sz w:val="32"/>
          <w:szCs w:val="32"/>
          <w:lang w:val="en-US" w:eastAsia="zh-CN"/>
        </w:rPr>
        <w:t>；严格落实报告表提出的无组织排放措施，未经收集的</w:t>
      </w:r>
      <w:r>
        <w:rPr>
          <w:rFonts w:hint="eastAsia" w:ascii="Times New Roman" w:hAnsi="Times New Roman" w:eastAsia="仿宋_GB2312" w:cs="Times New Roman"/>
          <w:b w:val="0"/>
          <w:bCs w:val="0"/>
          <w:sz w:val="32"/>
          <w:szCs w:val="32"/>
          <w:lang w:val="en-US" w:eastAsia="zh-CN"/>
        </w:rPr>
        <w:t>清洗废气</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注塑废气等无组织VOCs提高废气捕集率、</w:t>
      </w:r>
      <w:r>
        <w:rPr>
          <w:rFonts w:hint="default" w:ascii="Times New Roman" w:hAnsi="Times New Roman" w:eastAsia="仿宋_GB2312" w:cs="Times New Roman"/>
          <w:b w:val="0"/>
          <w:bCs w:val="0"/>
          <w:sz w:val="32"/>
          <w:szCs w:val="32"/>
          <w:lang w:val="en-US" w:eastAsia="zh-CN"/>
        </w:rPr>
        <w:t>加强车间通风换气</w:t>
      </w:r>
      <w:r>
        <w:rPr>
          <w:rFonts w:hint="eastAsia" w:ascii="Times New Roman" w:hAnsi="Times New Roman" w:eastAsia="仿宋_GB2312" w:cs="Times New Roman"/>
          <w:b w:val="0"/>
          <w:bCs w:val="0"/>
          <w:sz w:val="32"/>
          <w:szCs w:val="32"/>
          <w:lang w:val="en-US" w:eastAsia="zh-CN"/>
        </w:rPr>
        <w:t>等措施后排放，排放浓度</w:t>
      </w:r>
      <w:r>
        <w:rPr>
          <w:rFonts w:hint="default" w:ascii="Times New Roman" w:hAnsi="Times New Roman" w:eastAsia="仿宋_GB2312" w:cs="Times New Roman"/>
          <w:b w:val="0"/>
          <w:bCs w:val="0"/>
          <w:sz w:val="32"/>
          <w:szCs w:val="32"/>
          <w:lang w:val="en-US" w:eastAsia="zh-CN"/>
        </w:rPr>
        <w:t>执行</w:t>
      </w:r>
      <w:r>
        <w:rPr>
          <w:rFonts w:hint="eastAsia" w:ascii="Times New Roman" w:hAnsi="Times New Roman" w:eastAsia="仿宋_GB2312" w:cs="Times New Roman"/>
          <w:b w:val="0"/>
          <w:bCs w:val="0"/>
          <w:sz w:val="32"/>
          <w:szCs w:val="32"/>
          <w:lang w:val="en-US" w:eastAsia="zh-CN"/>
        </w:rPr>
        <w:t>山东省《挥发性有机物排放标准 第 5 部分：表面涂装行业》（DB 37/ 2801.5—2018）</w:t>
      </w:r>
      <w:r>
        <w:rPr>
          <w:rFonts w:hint="default" w:ascii="Times New Roman" w:hAnsi="Times New Roman" w:eastAsia="仿宋_GB2312" w:cs="Times New Roman"/>
          <w:b w:val="0"/>
          <w:bCs w:val="0"/>
          <w:sz w:val="32"/>
          <w:szCs w:val="32"/>
          <w:lang w:val="en-US" w:eastAsia="zh-CN"/>
        </w:rPr>
        <w:t>表</w:t>
      </w:r>
      <w:r>
        <w:rPr>
          <w:rFonts w:hint="eastAsia" w:ascii="Times New Roman" w:hAnsi="Times New Roman" w:eastAsia="仿宋_GB2312" w:cs="Times New Roman"/>
          <w:b w:val="0"/>
          <w:bCs w:val="0"/>
          <w:sz w:val="32"/>
          <w:szCs w:val="32"/>
          <w:lang w:val="en-US" w:eastAsia="zh-CN"/>
        </w:rPr>
        <w:t>3厂界监控点浓度限值及《挥发性有机物无组织排放控制标准》（GB37822-2019）附录A中表A.1标准厂区内无组织排放限值</w:t>
      </w:r>
      <w:r>
        <w:rPr>
          <w:rFonts w:hint="default" w:ascii="Times New Roman" w:hAnsi="Times New Roman" w:eastAsia="仿宋_GB2312" w:cs="Times New Roman"/>
          <w:b w:val="0"/>
          <w:bCs w:val="0"/>
          <w:sz w:val="32"/>
          <w:szCs w:val="32"/>
          <w:lang w:val="en-US" w:eastAsia="zh-CN"/>
        </w:rPr>
        <w:t>。焊接烟尘经移动式焊接烟尘净化器收集处理后在车间内无组织排放</w:t>
      </w:r>
      <w:r>
        <w:rPr>
          <w:rFonts w:hint="eastAsia" w:ascii="Times New Roman" w:hAnsi="Times New Roman" w:eastAsia="仿宋_GB2312" w:cs="Times New Roman"/>
          <w:b w:val="0"/>
          <w:bCs w:val="0"/>
          <w:sz w:val="32"/>
          <w:szCs w:val="32"/>
          <w:lang w:val="en-US" w:eastAsia="zh-CN"/>
        </w:rPr>
        <w:t>，无组织颗粒物排放浓度执行</w:t>
      </w:r>
      <w:r>
        <w:rPr>
          <w:rFonts w:hint="default" w:ascii="Times New Roman" w:hAnsi="Times New Roman" w:eastAsia="仿宋_GB2312" w:cs="Times New Roman"/>
          <w:b w:val="0"/>
          <w:bCs w:val="0"/>
          <w:sz w:val="32"/>
          <w:szCs w:val="32"/>
          <w:lang w:val="en-US" w:eastAsia="zh-CN"/>
        </w:rPr>
        <w:t>《大气污染物综合排放标准》（GB16297-1996）表2标准</w:t>
      </w:r>
      <w:r>
        <w:rPr>
          <w:rFonts w:hint="eastAsia" w:ascii="Times New Roman" w:hAnsi="Times New Roman" w:eastAsia="仿宋_GB2312" w:cs="Times New Roman"/>
          <w:b w:val="0"/>
          <w:bCs w:val="0"/>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lang w:val="en-US" w:eastAsia="zh-CN"/>
        </w:rPr>
        <w:t>）严格落实水污染防治措施。按照“雨污分流、清污分流、污污分流”原则完善厂区排水系统。生活污水及清洗废水</w:t>
      </w:r>
      <w:r>
        <w:rPr>
          <w:rFonts w:hint="eastAsia" w:ascii="Times New Roman" w:hAnsi="Times New Roman" w:eastAsia="仿宋_GB2312" w:cs="Times New Roman"/>
          <w:b w:val="0"/>
          <w:bCs w:val="0"/>
          <w:sz w:val="32"/>
          <w:szCs w:val="32"/>
          <w:lang w:val="en-US" w:eastAsia="zh-CN"/>
        </w:rPr>
        <w:t>依托奥瑞金（枣庄）包装有限公司现有污水处理站处理，满足《污水综合排放标准》（GB8978-1996)三级标准</w:t>
      </w:r>
      <w:r>
        <w:rPr>
          <w:rFonts w:hint="default" w:ascii="Times New Roman" w:hAnsi="Times New Roman" w:eastAsia="仿宋_GB2312" w:cs="Times New Roman"/>
          <w:b w:val="0"/>
          <w:bCs w:val="0"/>
          <w:sz w:val="32"/>
          <w:szCs w:val="32"/>
          <w:lang w:val="en-US" w:eastAsia="zh-CN"/>
        </w:rPr>
        <w:t>及污水厂接管</w:t>
      </w:r>
      <w:r>
        <w:rPr>
          <w:rFonts w:hint="eastAsia" w:ascii="Times New Roman" w:hAnsi="Times New Roman" w:eastAsia="仿宋_GB2312" w:cs="Times New Roman"/>
          <w:b w:val="0"/>
          <w:bCs w:val="0"/>
          <w:sz w:val="32"/>
          <w:szCs w:val="32"/>
          <w:lang w:val="en-US" w:eastAsia="zh-CN"/>
        </w:rPr>
        <w:t>限值后，经市政污水管网接管枣庄北控陶庄水务有限公司深度处理排放。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四</w:t>
      </w:r>
      <w:r>
        <w:rPr>
          <w:rFonts w:hint="default" w:ascii="Times New Roman" w:hAnsi="Times New Roman" w:eastAsia="仿宋_GB2312" w:cs="Times New Roman"/>
          <w:b w:val="0"/>
          <w:bCs w:val="0"/>
          <w:sz w:val="32"/>
          <w:szCs w:val="32"/>
          <w:lang w:val="en-US" w:eastAsia="zh-CN"/>
        </w:rPr>
        <w:t>）严格落实土壤和地下水污染防治措施。以“源头防控、分区防治、污染监控、应急响应”为原则进行地下水污染防治，强化厂区防漏及事故废水应急收集处理。及时启动应急预案和应急措施，应对土壤或地下水污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五</w:t>
      </w:r>
      <w:r>
        <w:rPr>
          <w:rFonts w:hint="default" w:ascii="Times New Roman" w:hAnsi="Times New Roman" w:eastAsia="仿宋_GB2312" w:cs="Times New Roman"/>
          <w:b w:val="0"/>
          <w:bCs w:val="0"/>
          <w:sz w:val="32"/>
          <w:szCs w:val="32"/>
          <w:lang w:val="en-US" w:eastAsia="zh-CN"/>
        </w:rPr>
        <w:t>）严格落实噪声污染防治措施。通过合理布局，采用防噪、降噪、选用低噪声设备，减震及厂房隔音处理等有效措施后，厂界噪声执行《工业企业厂界环境噪声排放标准》(GB12348-2008)中</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val="en-US" w:eastAsia="zh-CN"/>
        </w:rPr>
        <w:t>类标准（南厂界执行4类标准）。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六</w:t>
      </w:r>
      <w:r>
        <w:rPr>
          <w:rFonts w:hint="default" w:ascii="Times New Roman" w:hAnsi="Times New Roman" w:eastAsia="仿宋_GB2312" w:cs="Times New Roman"/>
          <w:b w:val="0"/>
          <w:bCs w:val="0"/>
          <w:sz w:val="32"/>
          <w:szCs w:val="32"/>
          <w:lang w:val="en-US" w:eastAsia="zh-CN"/>
        </w:rPr>
        <w:t>）严格落实固体废物分类处置措施。</w:t>
      </w:r>
      <w:r>
        <w:rPr>
          <w:rFonts w:hint="eastAsia" w:ascii="Times New Roman" w:hAnsi="Times New Roman" w:eastAsia="仿宋_GB2312" w:cs="Times New Roman"/>
          <w:b w:val="0"/>
          <w:bCs w:val="0"/>
          <w:sz w:val="32"/>
          <w:szCs w:val="32"/>
          <w:lang w:val="en-US" w:eastAsia="zh-CN"/>
        </w:rPr>
        <w:t>一般固体废物全部合理综合利用或回收处置，贮存过程应符合《一般工业固体废物贮存和填埋污染控制标准》(GB18599-2020)中相应防渗漏、防雨淋、防扬尘等环境保护的要求。废拉伸油、废润滑油、废包装桶、废活性炭、废催化剂、废油滤芯、废含油手套和抹布及其他危险废物应按照《危险废物贮存污染控制标准》（</w:t>
      </w:r>
      <w:r>
        <w:rPr>
          <w:rFonts w:hint="default" w:ascii="Times New Roman" w:hAnsi="Times New Roman" w:eastAsia="仿宋_GB2312" w:cs="Times New Roman"/>
          <w:b w:val="0"/>
          <w:bCs w:val="0"/>
          <w:sz w:val="32"/>
          <w:szCs w:val="32"/>
          <w:lang w:val="en-US" w:eastAsia="zh-CN"/>
        </w:rPr>
        <w:t>GB18597-20</w:t>
      </w:r>
      <w:r>
        <w:rPr>
          <w:rFonts w:hint="eastAsia" w:ascii="Times New Roman" w:hAnsi="Times New Roman" w:eastAsia="仿宋_GB2312" w:cs="Times New Roman"/>
          <w:b w:val="0"/>
          <w:bCs w:val="0"/>
          <w:sz w:val="32"/>
          <w:szCs w:val="32"/>
          <w:lang w:val="en-US" w:eastAsia="zh-CN"/>
        </w:rPr>
        <w:t>23）要求存储，并委托有资质单位处置。</w:t>
      </w:r>
      <w:r>
        <w:rPr>
          <w:rFonts w:hint="default" w:ascii="Times New Roman" w:hAnsi="Times New Roman" w:eastAsia="仿宋_GB2312" w:cs="Times New Roman"/>
          <w:b w:val="0"/>
          <w:bCs w:val="0"/>
          <w:sz w:val="32"/>
          <w:szCs w:val="32"/>
          <w:lang w:val="en-US" w:eastAsia="zh-CN"/>
        </w:rPr>
        <w:t xml:space="preserve">生活垃圾委托环卫部门定期清运处置。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七</w:t>
      </w:r>
      <w:r>
        <w:rPr>
          <w:rFonts w:hint="default" w:ascii="Times New Roman" w:hAnsi="Times New Roman" w:eastAsia="仿宋_GB2312" w:cs="Times New Roman"/>
          <w:b w:val="0"/>
          <w:bCs w:val="0"/>
          <w:sz w:val="32"/>
          <w:szCs w:val="32"/>
          <w:lang w:val="en-US" w:eastAsia="zh-CN"/>
        </w:rPr>
        <w:t>）健全环境管理制度。按照国家和地方有关规定，规范废气治理设施标志牌，标示治理工艺流程图。落实环境影响报告表提出的环境管理及监测计划。环保设备安装“分表计电” 智能控制系统，并与生态环境部门联网。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八</w:t>
      </w:r>
      <w:r>
        <w:rPr>
          <w:rFonts w:hint="default" w:ascii="Times New Roman" w:hAnsi="Times New Roman" w:eastAsia="仿宋_GB2312" w:cs="Times New Roman"/>
          <w:b w:val="0"/>
          <w:bCs w:val="0"/>
          <w:sz w:val="32"/>
          <w:szCs w:val="32"/>
          <w:lang w:val="en-US" w:eastAsia="zh-CN"/>
        </w:rPr>
        <w:t>）强化环境风险防范和应急措施。制定突发环境事件应急预案，配备必要的事故防范应急设施、设备并演练，切实加强事故应急处理及防范能力，确保环境安全。做好厂区分区防渗。履行安全生产法定职责，对环保设施和项目开展安全风险辨识管理，健全内部管理责任制度，严格依据标准规范建设环保设施和项目，符合安全生产、事故防范的相关规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九）</w:t>
      </w:r>
      <w:r>
        <w:rPr>
          <w:rFonts w:hint="default" w:ascii="Times New Roman" w:hAnsi="Times New Roman" w:eastAsia="仿宋_GB2312" w:cs="Times New Roman"/>
          <w:b w:val="0"/>
          <w:bCs w:val="0"/>
          <w:sz w:val="32"/>
          <w:szCs w:val="32"/>
          <w:lang w:val="en-US" w:eastAsia="zh-CN"/>
        </w:rPr>
        <w:t>该项目运营后，</w:t>
      </w:r>
      <w:r>
        <w:rPr>
          <w:rFonts w:hint="eastAsia" w:ascii="Times New Roman" w:hAnsi="Times New Roman" w:eastAsia="仿宋_GB2312" w:cs="Times New Roman"/>
          <w:b w:val="0"/>
          <w:bCs w:val="0"/>
          <w:sz w:val="32"/>
          <w:szCs w:val="32"/>
          <w:lang w:val="en-US" w:eastAsia="zh-CN"/>
        </w:rPr>
        <w:t>VOCs</w:t>
      </w:r>
      <w:r>
        <w:rPr>
          <w:rFonts w:hint="default" w:ascii="Times New Roman" w:hAnsi="Times New Roman" w:eastAsia="仿宋_GB2312" w:cs="Times New Roman"/>
          <w:b w:val="0"/>
          <w:bCs w:val="0"/>
          <w:sz w:val="32"/>
          <w:szCs w:val="32"/>
          <w:lang w:val="en-US" w:eastAsia="zh-CN"/>
        </w:rPr>
        <w:t>总量指标控制</w:t>
      </w:r>
      <w:r>
        <w:rPr>
          <w:rFonts w:hint="eastAsia" w:ascii="Times New Roman" w:hAnsi="Times New Roman" w:eastAsia="仿宋_GB2312" w:cs="Times New Roman"/>
          <w:b w:val="0"/>
          <w:bCs w:val="0"/>
          <w:sz w:val="32"/>
          <w:szCs w:val="32"/>
          <w:lang w:val="en-US" w:eastAsia="zh-CN"/>
        </w:rPr>
        <w:t>在0.0</w:t>
      </w:r>
      <w:r>
        <w:rPr>
          <w:rFonts w:hint="default" w:ascii="Times New Roman" w:hAnsi="Times New Roman" w:eastAsia="仿宋_GB2312" w:cs="Times New Roman"/>
          <w:b w:val="0"/>
          <w:bCs w:val="0"/>
          <w:sz w:val="32"/>
          <w:szCs w:val="32"/>
          <w:lang w:val="en-US" w:eastAsia="zh-CN"/>
        </w:rPr>
        <w:t>54</w:t>
      </w:r>
      <w:r>
        <w:rPr>
          <w:rFonts w:hint="eastAsia" w:ascii="Times New Roman" w:hAnsi="Times New Roman" w:eastAsia="仿宋_GB2312" w:cs="Times New Roman"/>
          <w:b w:val="0"/>
          <w:bCs w:val="0"/>
          <w:sz w:val="32"/>
          <w:szCs w:val="32"/>
          <w:lang w:val="en-US" w:eastAsia="zh-CN"/>
        </w:rPr>
        <w:t>t/a</w:t>
      </w:r>
      <w:r>
        <w:rPr>
          <w:rFonts w:hint="default" w:ascii="Times New Roman" w:hAnsi="Times New Roman" w:eastAsia="仿宋_GB2312" w:cs="Times New Roman"/>
          <w:b w:val="0"/>
          <w:bCs w:val="0"/>
          <w:sz w:val="32"/>
          <w:szCs w:val="32"/>
          <w:lang w:val="en-US" w:eastAsia="zh-CN"/>
        </w:rPr>
        <w:t>以内。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十</w:t>
      </w:r>
      <w:r>
        <w:rPr>
          <w:rFonts w:hint="default" w:ascii="Times New Roman" w:hAnsi="Times New Roman" w:eastAsia="仿宋_GB2312" w:cs="Times New Roman"/>
          <w:b w:val="0"/>
          <w:bCs w:val="0"/>
          <w:sz w:val="32"/>
          <w:szCs w:val="32"/>
          <w:lang w:val="en-US" w:eastAsia="zh-CN"/>
        </w:rPr>
        <w:t>）强化环境信息公开与公众参与机制。在项目运营过程中，落实建设项目环评信息公开主体责任，针对项目建设的不同阶段，按规定发布企业环境保护信息，自觉接受社会监督。建立畅通的公众参与渠道，加强宣传与沟通工作，及时解决公众反映的环境问题，满足公众合理的环境保护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三、严格执行配套建设的环境保护设施与主体项目同时设计、同时施工、同时投入使用的“三同时”制度，落实各项环境保护措施。项目建成后，须按规定程序</w:t>
      </w:r>
      <w:r>
        <w:rPr>
          <w:rFonts w:hint="eastAsia" w:ascii="Times New Roman" w:hAnsi="Times New Roman" w:eastAsia="仿宋_GB2312" w:cs="Times New Roman"/>
          <w:b w:val="0"/>
          <w:bCs w:val="0"/>
          <w:sz w:val="32"/>
          <w:szCs w:val="32"/>
          <w:lang w:val="en-US" w:eastAsia="zh-CN"/>
        </w:rPr>
        <w:t>申领排污许可证、</w:t>
      </w:r>
      <w:r>
        <w:rPr>
          <w:rFonts w:hint="default" w:ascii="Times New Roman" w:hAnsi="Times New Roman" w:eastAsia="仿宋_GB2312" w:cs="Times New Roman"/>
          <w:b w:val="0"/>
          <w:bCs w:val="0"/>
          <w:sz w:val="32"/>
          <w:szCs w:val="32"/>
          <w:lang w:val="en-US" w:eastAsia="zh-CN"/>
        </w:rPr>
        <w:t>实施竣工环境保护验收，验收通过后，方可正式投运。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四、环境影响报告表经批准后，项目的性质、规模、地点、生产工艺或者防治污染、防止生态破坏的措施发生重大变动的，应当重新报批该项目的环境影响报告表。自环境影响报告表批复文件批准之日起，如超过5年项目才开工的，应当在开工前将环境影响报告表报批重新审核。如根据法律法规等相关规定需要进行更严格要求的，实行从严管理。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五、薛城区环境综合执法大队、</w:t>
      </w:r>
      <w:r>
        <w:rPr>
          <w:rFonts w:hint="eastAsia" w:ascii="Times New Roman" w:hAnsi="Times New Roman" w:eastAsia="仿宋_GB2312" w:cs="Times New Roman"/>
          <w:b w:val="0"/>
          <w:bCs w:val="0"/>
          <w:sz w:val="32"/>
          <w:szCs w:val="32"/>
          <w:lang w:val="en-US" w:eastAsia="zh-CN"/>
        </w:rPr>
        <w:t>陶庄镇人民政府</w:t>
      </w:r>
      <w:r>
        <w:rPr>
          <w:rFonts w:hint="default" w:ascii="Times New Roman" w:hAnsi="Times New Roman" w:eastAsia="仿宋_GB2312" w:cs="Times New Roman"/>
          <w:b w:val="0"/>
          <w:bCs w:val="0"/>
          <w:sz w:val="32"/>
          <w:szCs w:val="32"/>
          <w:lang w:val="en-US" w:eastAsia="zh-CN"/>
        </w:rPr>
        <w:t>负责该项目建设</w:t>
      </w:r>
      <w:r>
        <w:rPr>
          <w:rFonts w:hint="eastAsia" w:ascii="Times New Roman" w:hAnsi="Times New Roman" w:eastAsia="仿宋_GB2312" w:cs="Times New Roman"/>
          <w:b w:val="0"/>
          <w:bCs w:val="0"/>
          <w:sz w:val="32"/>
          <w:szCs w:val="32"/>
          <w:lang w:val="en-US" w:eastAsia="zh-CN"/>
        </w:rPr>
        <w:t>及</w:t>
      </w:r>
      <w:r>
        <w:rPr>
          <w:rFonts w:hint="default" w:ascii="Times New Roman" w:hAnsi="Times New Roman" w:eastAsia="仿宋_GB2312" w:cs="Times New Roman"/>
          <w:b w:val="0"/>
          <w:bCs w:val="0"/>
          <w:sz w:val="32"/>
          <w:szCs w:val="32"/>
          <w:lang w:val="en-US" w:eastAsia="zh-CN"/>
        </w:rPr>
        <w:t xml:space="preserve">运营期间的环境保护监督检查工作。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六、如有符合《中华人民共和国行政许可法》第七十八条“行政许可申请人隐瞒有关情况或者提供虚假材料申请行政许可，行政机关应不予受理或者不予行政许可情形”或不符合相关法律法规规定要求的，本批复自然作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8" w:firstLineChars="200"/>
        <w:jc w:val="left"/>
        <w:rPr>
          <w:rFonts w:hint="default" w:ascii="Times New Roman" w:hAnsi="Times New Roman" w:eastAsia="仿宋_GB2312" w:cs="Times New Roman"/>
          <w:b w:val="0"/>
          <w:bCs w:val="0"/>
          <w:w w:val="95"/>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08" w:firstLineChars="200"/>
        <w:jc w:val="righ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w w:val="95"/>
          <w:sz w:val="32"/>
          <w:szCs w:val="32"/>
          <w:lang w:eastAsia="zh-CN"/>
        </w:rPr>
        <w:t>枣庄市生态环境局薛城分局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2025年</w:t>
      </w:r>
      <w:r>
        <w:rPr>
          <w:rFonts w:hint="eastAsia"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25</w:t>
      </w:r>
      <w:r>
        <w:rPr>
          <w:rFonts w:hint="default" w:ascii="Times New Roman" w:hAnsi="Times New Roman" w:eastAsia="仿宋_GB2312" w:cs="Times New Roman"/>
          <w:b w:val="0"/>
          <w:bCs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rPr>
          <w:rFonts w:hint="default" w:ascii="Times New Roman" w:hAnsi="Times New Roman" w:eastAsia="仿宋_GB2312" w:cs="Times New Roman"/>
          <w:b w:val="0"/>
          <w:bCs w:val="0"/>
          <w:sz w:val="32"/>
          <w:szCs w:val="32"/>
          <w:lang w:val="en-US" w:eastAsia="zh-CN"/>
        </w:rPr>
      </w:pPr>
      <w:bookmarkStart w:id="1" w:name="_GoBack"/>
      <w:bookmarkEnd w:id="1"/>
      <w:r>
        <w:rPr>
          <w:rFonts w:hint="default" w:ascii="Times New Roman" w:hAnsi="Times New Roman" w:eastAsia="仿宋_GB2312" w:cs="Times New Roman"/>
          <w:b w:val="0"/>
          <w:bCs w:val="0"/>
          <w:sz w:val="32"/>
          <w:szCs w:val="32"/>
          <w:lang w:val="en-US" w:eastAsia="zh-CN"/>
        </w:rPr>
        <w:t>主题词：环保  环境影响评价  报告表  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22225</wp:posOffset>
                </wp:positionV>
                <wp:extent cx="5386705" cy="0"/>
                <wp:effectExtent l="0" t="9525" r="4445" b="9525"/>
                <wp:wrapNone/>
                <wp:docPr id="1" name="Line 2"/>
                <wp:cNvGraphicFramePr/>
                <a:graphic xmlns:a="http://schemas.openxmlformats.org/drawingml/2006/main">
                  <a:graphicData uri="http://schemas.microsoft.com/office/word/2010/wordprocessingShape">
                    <wps:wsp>
                      <wps:cNvCnPr/>
                      <wps:spPr>
                        <a:xfrm>
                          <a:off x="0" y="0"/>
                          <a:ext cx="538670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5pt;margin-top:1.75pt;height:0pt;width:424.15pt;z-index:251660288;mso-width-relative:page;mso-height-relative:page;" filled="f" stroked="t" coordsize="21600,21600" o:gfxdata="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OSnnNdIAAAAFAQAADwAAAAAAAAABACAAAAA4AAAAZHJzL2Rvd25yZXYueG1sUEsBAhQAFAAAAAgA&#10;h07iQKRRKvHcAQAA2gMAAA4AAAAAAAAAAQAgAAAANwEAAGRycy9lMm9Eb2MueG1sUEsFBgAAAAAG&#10;AAYAWQEAAIU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val="0"/>
          <w:bCs w:val="0"/>
          <w:sz w:val="32"/>
          <w:szCs w:val="32"/>
          <w:lang w:val="en-US" w:eastAsia="zh-CN"/>
        </w:rPr>
        <w:t>抄 送：薛城区环境综合执法大队、</w:t>
      </w:r>
      <w:r>
        <w:rPr>
          <w:rFonts w:hint="eastAsia" w:ascii="Times New Roman" w:hAnsi="Times New Roman" w:eastAsia="仿宋_GB2312" w:cs="Times New Roman"/>
          <w:b w:val="0"/>
          <w:bCs w:val="0"/>
          <w:sz w:val="32"/>
          <w:szCs w:val="32"/>
          <w:lang w:val="en-US" w:eastAsia="zh-CN"/>
        </w:rPr>
        <w:t>薛城区应急管理局、山东绿源工程设计研究有限公司、</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rPr>
          <w:rFonts w:hint="default" w:ascii="Times New Roman" w:hAnsi="Times New Roman" w:eastAsia="仿宋_GB2312" w:cs="Times New Roman"/>
          <w:b w:val="0"/>
          <w:bCs w:val="0"/>
          <w:w w:val="90"/>
          <w:sz w:val="32"/>
          <w:szCs w:val="32"/>
          <w:lang w:val="en-US" w:eastAsia="zh-CN"/>
        </w:rPr>
      </w:pPr>
      <w:r>
        <w:rPr>
          <w:rFonts w:hint="default" w:ascii="Times New Roman" w:hAnsi="Times New Roman" w:eastAsia="仿宋_GB2312" w:cs="Times New Roman"/>
          <w:b w:val="0"/>
          <w:bCs w:val="0"/>
          <w:w w:val="90"/>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36195</wp:posOffset>
                </wp:positionV>
                <wp:extent cx="5361305" cy="635"/>
                <wp:effectExtent l="0" t="0" r="0" b="0"/>
                <wp:wrapNone/>
                <wp:docPr id="2" name="Line 3"/>
                <wp:cNvGraphicFramePr/>
                <a:graphic xmlns:a="http://schemas.openxmlformats.org/drawingml/2006/main">
                  <a:graphicData uri="http://schemas.microsoft.com/office/word/2010/wordprocessingShape">
                    <wps:wsp>
                      <wps:cNvCnPr/>
                      <wps:spPr>
                        <a:xfrm>
                          <a:off x="0" y="0"/>
                          <a:ext cx="5361305"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2.85pt;height:0.05pt;width:422.15pt;z-index:251661312;mso-width-relative:page;mso-height-relative:page;" filled="f" stroked="t" coordsize="21600,21600" o:gfxdata="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Y&#10;E0BA0AAAAAQBAAAPAAAAAAAAAAEAIAAAADgAAABkcnMvZG93bnJldi54bWxQSwECFAAUAAAACACH&#10;TuJABOU9P90BAADcAwAADgAAAAAAAAABACAAAAA1AQAAZHJzL2Uyb0RvYy54bWxQSwUGAAAAAAYA&#10;BgBZAQAAhA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val="0"/>
          <w:bCs w:val="0"/>
          <w:w w:val="90"/>
          <w:sz w:val="32"/>
          <w:szCs w:val="32"/>
          <w:lang w:val="en-US" w:eastAsia="zh-CN"/>
        </w:rPr>
        <w:t>枣庄市生态环境局薛城分局办公室</w:t>
      </w:r>
      <w:r>
        <w:rPr>
          <w:rFonts w:hint="eastAsia" w:ascii="Times New Roman" w:hAnsi="Times New Roman" w:eastAsia="仿宋_GB2312" w:cs="Times New Roman"/>
          <w:b w:val="0"/>
          <w:bCs w:val="0"/>
          <w:w w:val="90"/>
          <w:sz w:val="32"/>
          <w:szCs w:val="32"/>
          <w:lang w:val="en-US" w:eastAsia="zh-CN"/>
        </w:rPr>
        <w:t xml:space="preserve"> </w:t>
      </w:r>
      <w:r>
        <w:rPr>
          <w:rFonts w:hint="default" w:ascii="Times New Roman" w:hAnsi="Times New Roman" w:eastAsia="仿宋_GB2312" w:cs="Times New Roman"/>
          <w:b w:val="0"/>
          <w:bCs w:val="0"/>
          <w:w w:val="90"/>
          <w:sz w:val="32"/>
          <w:szCs w:val="32"/>
          <w:lang w:val="en-US" w:eastAsia="zh-CN"/>
        </w:rPr>
        <w:t xml:space="preserve"> 2025年7月25日打印</w:t>
      </w:r>
      <w:r>
        <w:rPr>
          <w:rFonts w:hint="eastAsia" w:ascii="Times New Roman" w:hAnsi="Times New Roman" w:eastAsia="仿宋_GB2312" w:cs="Times New Roman"/>
          <w:b w:val="0"/>
          <w:bCs w:val="0"/>
          <w:w w:val="90"/>
          <w:sz w:val="32"/>
          <w:szCs w:val="32"/>
          <w:lang w:val="en-US" w:eastAsia="zh-CN"/>
        </w:rPr>
        <w:t>6</w:t>
      </w:r>
      <w:r>
        <w:rPr>
          <w:rFonts w:hint="default" w:ascii="Times New Roman" w:hAnsi="Times New Roman" w:eastAsia="仿宋_GB2312" w:cs="Times New Roman"/>
          <w:b w:val="0"/>
          <w:bCs w:val="0"/>
          <w:w w:val="90"/>
          <w:sz w:val="32"/>
          <w:szCs w:val="32"/>
          <w:lang w:val="en-US" w:eastAsia="zh-CN"/>
        </w:rPr>
        <w:t>份</w:t>
      </w:r>
    </w:p>
    <w:sectPr>
      <w:footerReference r:id="rId3" w:type="default"/>
      <w:pgSz w:w="11906" w:h="16838"/>
      <w:pgMar w:top="1701" w:right="1701" w:bottom="170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Tms Rmn">
    <w:altName w:val="Segoe Print"/>
    <w:panose1 w:val="020206030405050203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姚体_GBK">
    <w:panose1 w:val="02000000000000000000"/>
    <w:charset w:val="86"/>
    <w:family w:val="auto"/>
    <w:pitch w:val="default"/>
    <w:sig w:usb0="A00002BF" w:usb1="38CF7CFA" w:usb2="00082016" w:usb3="00000000" w:csb0="00040001" w:csb1="00000000"/>
  </w:font>
  <w:font w:name="方正行楷_GBK">
    <w:panose1 w:val="02000000000000000000"/>
    <w:charset w:val="86"/>
    <w:family w:val="auto"/>
    <w:pitch w:val="default"/>
    <w:sig w:usb0="A00002BF" w:usb1="38CF7CFA" w:usb2="00000016" w:usb3="00000000" w:csb0="00040001" w:csb1="00000000"/>
  </w:font>
  <w:font w:name="方正魏碑_GBK">
    <w:panose1 w:val="02000000000000000000"/>
    <w:charset w:val="86"/>
    <w:family w:val="auto"/>
    <w:pitch w:val="default"/>
    <w:sig w:usb0="A00002BF" w:usb1="39CF7CFA" w:usb2="00082016" w:usb3="00000000" w:csb0="00040001" w:csb1="00000000"/>
  </w:font>
  <w:font w:name="汉仪君黑-35简">
    <w:panose1 w:val="00020600040101010101"/>
    <w:charset w:val="86"/>
    <w:family w:val="auto"/>
    <w:pitch w:val="default"/>
    <w:sig w:usb0="A00002BF" w:usb1="0ACF7CFA" w:usb2="00000016" w:usb3="00000000" w:csb0="0004009F" w:csb1="00000000"/>
  </w:font>
  <w:font w:name="汉仪字典宋">
    <w:panose1 w:val="01010104010101010101"/>
    <w:charset w:val="86"/>
    <w:family w:val="auto"/>
    <w:pitch w:val="default"/>
    <w:sig w:usb0="800002BF" w:usb1="004F7CFA"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2534285</wp:posOffset>
              </wp:positionH>
              <wp:positionV relativeFrom="paragraph">
                <wp:posOffset>-172720</wp:posOffset>
              </wp:positionV>
              <wp:extent cx="737235" cy="3270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37235" cy="327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9.55pt;margin-top:-13.6pt;height:25.75pt;width:58.05pt;mso-position-horizontal-relative:margin;z-index:251659264;mso-width-relative:page;mso-height-relative:page;" filled="f" stroked="f" coordsize="21600,21600" o:gfxdata="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E2An7/aAAAACgEAAA8A&#10;AAAAAAAAAQAgAAAAOAAAAGRycy9kb3ducmV2LnhtbFBLAQIUABQAAAAIAIdO4kBU+CjLOAIAAGEE&#10;AAAOAAAAAAAAAAEAIAAAAD8BAABkcnMvZTJvRG9jLnhtbFBLBQYAAAAABgAGAFkBAADpBQAAAAA=&#10;">
              <v:fill on="f" focussize="0,0"/>
              <v:stroke on="f" weight="0.5pt"/>
              <v:imagedata o:title=""/>
              <o:lock v:ext="edit" aspectratio="f"/>
              <v:textbox inset="0mm,0mm,0mm,0mm">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CF0EE"/>
    <w:multiLevelType w:val="singleLevel"/>
    <w:tmpl w:val="5B1CF0EE"/>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MzI4YmY4OWFlMDUxNTZhZDJjYzgxMGU0MThlOWEifQ=="/>
  </w:docVars>
  <w:rsids>
    <w:rsidRoot w:val="390515EE"/>
    <w:rsid w:val="002410F1"/>
    <w:rsid w:val="003A4DB8"/>
    <w:rsid w:val="00887E11"/>
    <w:rsid w:val="01161381"/>
    <w:rsid w:val="012832B8"/>
    <w:rsid w:val="0167398B"/>
    <w:rsid w:val="027F090F"/>
    <w:rsid w:val="03327FC8"/>
    <w:rsid w:val="03D746CC"/>
    <w:rsid w:val="04074FB1"/>
    <w:rsid w:val="040F2FA9"/>
    <w:rsid w:val="043F474B"/>
    <w:rsid w:val="0560706F"/>
    <w:rsid w:val="07E86EA8"/>
    <w:rsid w:val="096D58B6"/>
    <w:rsid w:val="0A1C108A"/>
    <w:rsid w:val="0C8353F1"/>
    <w:rsid w:val="0DA516C5"/>
    <w:rsid w:val="0DAB2E51"/>
    <w:rsid w:val="0E6F0323"/>
    <w:rsid w:val="0EA004DC"/>
    <w:rsid w:val="0F2B249C"/>
    <w:rsid w:val="0F582B65"/>
    <w:rsid w:val="10060813"/>
    <w:rsid w:val="106F63B8"/>
    <w:rsid w:val="10E2302E"/>
    <w:rsid w:val="15543DCE"/>
    <w:rsid w:val="16920EE2"/>
    <w:rsid w:val="16A86180"/>
    <w:rsid w:val="16B234A2"/>
    <w:rsid w:val="16B72867"/>
    <w:rsid w:val="16D743A7"/>
    <w:rsid w:val="170B2BB3"/>
    <w:rsid w:val="17127A9D"/>
    <w:rsid w:val="17C70888"/>
    <w:rsid w:val="17D86F39"/>
    <w:rsid w:val="183C2926"/>
    <w:rsid w:val="1912647A"/>
    <w:rsid w:val="19792055"/>
    <w:rsid w:val="1A0C7E93"/>
    <w:rsid w:val="1B574618"/>
    <w:rsid w:val="1E0C793C"/>
    <w:rsid w:val="1F2F1715"/>
    <w:rsid w:val="204F138A"/>
    <w:rsid w:val="21132D8F"/>
    <w:rsid w:val="23940C18"/>
    <w:rsid w:val="23DA5DE6"/>
    <w:rsid w:val="246A53BC"/>
    <w:rsid w:val="24B91EA0"/>
    <w:rsid w:val="26C16D50"/>
    <w:rsid w:val="26C863CA"/>
    <w:rsid w:val="299B1B74"/>
    <w:rsid w:val="2B0032AF"/>
    <w:rsid w:val="2BFF6C0D"/>
    <w:rsid w:val="2CF75313"/>
    <w:rsid w:val="2DAC07F4"/>
    <w:rsid w:val="2E6115DE"/>
    <w:rsid w:val="2FEA73B1"/>
    <w:rsid w:val="30F229C1"/>
    <w:rsid w:val="311A5A74"/>
    <w:rsid w:val="334E5EA9"/>
    <w:rsid w:val="339064C2"/>
    <w:rsid w:val="37144DE7"/>
    <w:rsid w:val="373C4996"/>
    <w:rsid w:val="390515EE"/>
    <w:rsid w:val="3A9B7C26"/>
    <w:rsid w:val="3ACE7FFB"/>
    <w:rsid w:val="3B027CA5"/>
    <w:rsid w:val="3B497682"/>
    <w:rsid w:val="3C2459F9"/>
    <w:rsid w:val="3D791D75"/>
    <w:rsid w:val="3ED7BB27"/>
    <w:rsid w:val="3F051B12"/>
    <w:rsid w:val="40122635"/>
    <w:rsid w:val="402E5807"/>
    <w:rsid w:val="405014B2"/>
    <w:rsid w:val="41AD023F"/>
    <w:rsid w:val="41DB1250"/>
    <w:rsid w:val="41F8595E"/>
    <w:rsid w:val="422E5823"/>
    <w:rsid w:val="43C318BF"/>
    <w:rsid w:val="43FD725B"/>
    <w:rsid w:val="44507CD3"/>
    <w:rsid w:val="45120AE5"/>
    <w:rsid w:val="45966E3A"/>
    <w:rsid w:val="45A91659"/>
    <w:rsid w:val="45AD6A5F"/>
    <w:rsid w:val="45E5397D"/>
    <w:rsid w:val="47C36A0E"/>
    <w:rsid w:val="48B0455C"/>
    <w:rsid w:val="48F549A5"/>
    <w:rsid w:val="49105C83"/>
    <w:rsid w:val="4A2D08A2"/>
    <w:rsid w:val="4A3E412A"/>
    <w:rsid w:val="4AC16991"/>
    <w:rsid w:val="4ACA1E61"/>
    <w:rsid w:val="4BD05255"/>
    <w:rsid w:val="4C331E97"/>
    <w:rsid w:val="4C46376A"/>
    <w:rsid w:val="4C465518"/>
    <w:rsid w:val="4C505F95"/>
    <w:rsid w:val="4D4B1038"/>
    <w:rsid w:val="4FF35299"/>
    <w:rsid w:val="50175FC5"/>
    <w:rsid w:val="50795EBC"/>
    <w:rsid w:val="50964CC0"/>
    <w:rsid w:val="509E1DC6"/>
    <w:rsid w:val="5160707C"/>
    <w:rsid w:val="51B178D7"/>
    <w:rsid w:val="51ED53F0"/>
    <w:rsid w:val="53C438F2"/>
    <w:rsid w:val="547C241E"/>
    <w:rsid w:val="54F2623D"/>
    <w:rsid w:val="56116B96"/>
    <w:rsid w:val="56680EAC"/>
    <w:rsid w:val="57A53A3A"/>
    <w:rsid w:val="57FF21BD"/>
    <w:rsid w:val="583B7EFB"/>
    <w:rsid w:val="585D2567"/>
    <w:rsid w:val="59B83EF9"/>
    <w:rsid w:val="5A025174"/>
    <w:rsid w:val="5ACB7C5C"/>
    <w:rsid w:val="5CAE15E3"/>
    <w:rsid w:val="5DF254FF"/>
    <w:rsid w:val="5E5F0DE7"/>
    <w:rsid w:val="5FE77406"/>
    <w:rsid w:val="5FEF341C"/>
    <w:rsid w:val="600A6B30"/>
    <w:rsid w:val="620F48D2"/>
    <w:rsid w:val="626F711E"/>
    <w:rsid w:val="62816E52"/>
    <w:rsid w:val="62A82630"/>
    <w:rsid w:val="630006BE"/>
    <w:rsid w:val="63DF02D4"/>
    <w:rsid w:val="64485E79"/>
    <w:rsid w:val="64CE2822"/>
    <w:rsid w:val="659D21F5"/>
    <w:rsid w:val="663861BF"/>
    <w:rsid w:val="6764121C"/>
    <w:rsid w:val="679B2764"/>
    <w:rsid w:val="68B65AA7"/>
    <w:rsid w:val="6B8A5576"/>
    <w:rsid w:val="6BEE5558"/>
    <w:rsid w:val="6D437B25"/>
    <w:rsid w:val="6D8F2D6B"/>
    <w:rsid w:val="6DAA54AF"/>
    <w:rsid w:val="6F742218"/>
    <w:rsid w:val="6FEFCCF9"/>
    <w:rsid w:val="6FFEE9D9"/>
    <w:rsid w:val="70497201"/>
    <w:rsid w:val="714D0F73"/>
    <w:rsid w:val="718D4E12"/>
    <w:rsid w:val="72457E9C"/>
    <w:rsid w:val="72BB015E"/>
    <w:rsid w:val="73FE9BF3"/>
    <w:rsid w:val="743B50B2"/>
    <w:rsid w:val="749D7B1B"/>
    <w:rsid w:val="75134281"/>
    <w:rsid w:val="76E64F59"/>
    <w:rsid w:val="78341EC3"/>
    <w:rsid w:val="786F17CF"/>
    <w:rsid w:val="79167E9C"/>
    <w:rsid w:val="79A731EA"/>
    <w:rsid w:val="7A487219"/>
    <w:rsid w:val="7CE3BC6D"/>
    <w:rsid w:val="7D3D00ED"/>
    <w:rsid w:val="7DBF0D8A"/>
    <w:rsid w:val="7FAF672C"/>
    <w:rsid w:val="7FEA79A2"/>
    <w:rsid w:val="7FEF051E"/>
    <w:rsid w:val="D99105B3"/>
    <w:rsid w:val="DFDB022E"/>
    <w:rsid w:val="EABB1D2A"/>
    <w:rsid w:val="FBFE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pPr>
      <w:keepNext/>
      <w:spacing w:before="152" w:after="160"/>
      <w:ind w:firstLine="240" w:firstLineChars="100"/>
      <w:jc w:val="center"/>
    </w:pPr>
    <w:rPr>
      <w:rFonts w:ascii="Arial" w:hAnsi="Arial" w:eastAsia="黑体" w:cs="Arial"/>
      <w:sz w:val="24"/>
      <w:u w:val="double"/>
    </w:rPr>
  </w:style>
  <w:style w:type="paragraph" w:styleId="4">
    <w:name w:val="annotation text"/>
    <w:basedOn w:val="1"/>
    <w:semiHidden/>
    <w:qFormat/>
    <w:uiPriority w:val="0"/>
    <w:pPr>
      <w:jc w:val="left"/>
    </w:pPr>
  </w:style>
  <w:style w:type="paragraph" w:styleId="5">
    <w:name w:val="Body Text"/>
    <w:basedOn w:val="1"/>
    <w:next w:val="6"/>
    <w:qFormat/>
    <w:uiPriority w:val="0"/>
    <w:pPr>
      <w:spacing w:after="120" w:afterLines="0"/>
    </w:pPr>
  </w:style>
  <w:style w:type="paragraph" w:styleId="6">
    <w:name w:val="List Bullet 5"/>
    <w:basedOn w:val="1"/>
    <w:qFormat/>
    <w:uiPriority w:val="0"/>
    <w:pPr>
      <w:numPr>
        <w:ilvl w:val="0"/>
        <w:numId w:val="1"/>
      </w:numPr>
    </w:pPr>
  </w:style>
  <w:style w:type="paragraph" w:styleId="7">
    <w:name w:val="Body Text Indent"/>
    <w:basedOn w:val="1"/>
    <w:qFormat/>
    <w:uiPriority w:val="0"/>
    <w:pPr>
      <w:spacing w:after="120"/>
      <w:ind w:left="420" w:leftChars="200"/>
    </w:pPr>
  </w:style>
  <w:style w:type="paragraph" w:styleId="8">
    <w:name w:val="endnote text"/>
    <w:basedOn w:val="1"/>
    <w:qFormat/>
    <w:uiPriority w:val="0"/>
    <w:pPr>
      <w:snapToGrid w:val="0"/>
      <w:jc w:val="left"/>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样式5"/>
    <w:basedOn w:val="5"/>
    <w:next w:val="8"/>
    <w:qFormat/>
    <w:uiPriority w:val="0"/>
    <w:pPr>
      <w:spacing w:line="460" w:lineRule="exact"/>
      <w:ind w:firstLine="510"/>
    </w:pPr>
    <w:rPr>
      <w:rFonts w:eastAsia="仿宋_GB2312"/>
      <w:sz w:val="24"/>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13">
    <w:name w:val="Body Text First Indent"/>
    <w:basedOn w:val="5"/>
    <w:next w:val="1"/>
    <w:qFormat/>
    <w:uiPriority w:val="0"/>
    <w:pPr>
      <w:widowControl w:val="0"/>
      <w:snapToGrid/>
      <w:spacing w:before="0" w:after="120" w:line="240" w:lineRule="auto"/>
      <w:ind w:right="0" w:firstLine="420" w:firstLineChars="100"/>
    </w:pPr>
    <w:rPr>
      <w:rFonts w:ascii="Times New Roman" w:hAnsi="Times New Roman" w:eastAsia="宋体"/>
      <w:kern w:val="2"/>
      <w:sz w:val="21"/>
      <w:szCs w:val="24"/>
    </w:rPr>
  </w:style>
  <w:style w:type="paragraph" w:styleId="14">
    <w:name w:val="Body Text First Indent 2"/>
    <w:basedOn w:val="7"/>
    <w:qFormat/>
    <w:uiPriority w:val="0"/>
    <w:pPr>
      <w:ind w:firstLine="420"/>
    </w:pPr>
  </w:style>
  <w:style w:type="character" w:styleId="17">
    <w:name w:val="page number"/>
    <w:basedOn w:val="16"/>
    <w:qFormat/>
    <w:uiPriority w:val="0"/>
  </w:style>
  <w:style w:type="character" w:styleId="18">
    <w:name w:val="annotation reference"/>
    <w:qFormat/>
    <w:uiPriority w:val="0"/>
    <w:rPr>
      <w:sz w:val="21"/>
    </w:rPr>
  </w:style>
  <w:style w:type="paragraph" w:customStyle="1" w:styleId="19">
    <w:name w:val="正文首行缩进 21"/>
    <w:basedOn w:val="20"/>
    <w:next w:val="1"/>
    <w:qFormat/>
    <w:uiPriority w:val="0"/>
    <w:pPr>
      <w:widowControl/>
      <w:ind w:firstLine="420" w:firstLineChars="200"/>
      <w:jc w:val="left"/>
    </w:pPr>
  </w:style>
  <w:style w:type="paragraph" w:customStyle="1" w:styleId="20">
    <w:name w:val="正文文本缩进1"/>
    <w:basedOn w:val="1"/>
    <w:next w:val="3"/>
    <w:qFormat/>
    <w:uiPriority w:val="0"/>
    <w:pPr>
      <w:spacing w:after="120"/>
      <w:ind w:left="420" w:leftChars="200"/>
    </w:pPr>
    <w:rPr>
      <w:rFonts w:hint="eastAsia"/>
    </w:rPr>
  </w:style>
  <w:style w:type="paragraph" w:customStyle="1" w:styleId="21">
    <w:name w:val="Date1"/>
    <w:basedOn w:val="1"/>
    <w:next w:val="1"/>
    <w:qFormat/>
    <w:uiPriority w:val="0"/>
    <w:rPr>
      <w:szCs w:val="20"/>
    </w:rPr>
  </w:style>
  <w:style w:type="paragraph" w:customStyle="1" w:styleId="22">
    <w:name w:val="UserStyle_8"/>
    <w:basedOn w:val="23"/>
    <w:qFormat/>
    <w:uiPriority w:val="0"/>
    <w:pPr>
      <w:spacing w:line="240" w:lineRule="auto"/>
      <w:ind w:right="-140" w:rightChars="-50" w:firstLine="1653" w:firstLineChars="588"/>
      <w:jc w:val="both"/>
      <w:textAlignment w:val="baseline"/>
    </w:pPr>
    <w:rPr>
      <w:rFonts w:ascii="宋体" w:hAnsi="Tms Rmn" w:cs="Times New Roman"/>
      <w:b/>
      <w:bCs/>
      <w:kern w:val="0"/>
      <w:sz w:val="28"/>
      <w:szCs w:val="20"/>
      <w:lang w:val="en-US" w:eastAsia="zh-CN" w:bidi="ar-SA"/>
    </w:rPr>
  </w:style>
  <w:style w:type="paragraph" w:customStyle="1" w:styleId="23">
    <w:name w:val="UserStyle_9"/>
    <w:basedOn w:val="1"/>
    <w:next w:val="1"/>
    <w:qFormat/>
    <w:uiPriority w:val="0"/>
    <w:pPr>
      <w:spacing w:line="480" w:lineRule="atLeast"/>
      <w:jc w:val="both"/>
      <w:textAlignment w:val="baseline"/>
    </w:pPr>
    <w:rPr>
      <w:rFonts w:ascii="宋体" w:hAnsi="Tms Rmn"/>
      <w:kern w:val="0"/>
      <w:sz w:val="28"/>
      <w:szCs w:val="20"/>
      <w:lang w:val="en-US" w:eastAsia="zh-CN" w:bidi="ar-SA"/>
    </w:rPr>
  </w:style>
  <w:style w:type="paragraph" w:customStyle="1" w:styleId="24">
    <w:name w:val="报告书正文样式1"/>
    <w:basedOn w:val="25"/>
    <w:qFormat/>
    <w:uiPriority w:val="0"/>
    <w:pPr>
      <w:spacing w:line="360" w:lineRule="auto"/>
    </w:pPr>
    <w:rPr>
      <w:rFonts w:ascii="Arial" w:hAnsi="Arial" w:cs="Arial"/>
      <w:szCs w:val="24"/>
    </w:rPr>
  </w:style>
  <w:style w:type="paragraph" w:customStyle="1" w:styleId="25">
    <w:name w:val="报告书正文"/>
    <w:basedOn w:val="1"/>
    <w:qFormat/>
    <w:uiPriority w:val="0"/>
    <w:pPr>
      <w:adjustRightInd w:val="0"/>
      <w:snapToGrid w:val="0"/>
      <w:spacing w:line="360" w:lineRule="atLeast"/>
      <w:ind w:firstLine="425"/>
      <w:textAlignment w:val="baseline"/>
    </w:pPr>
    <w:rPr>
      <w:rFonts w:ascii="Times New Roman" w:hAnsi="Times New Roman"/>
      <w:sz w:val="24"/>
      <w:szCs w:val="20"/>
    </w:rPr>
  </w:style>
  <w:style w:type="character" w:customStyle="1" w:styleId="26">
    <w:name w:val="NormalCharacter"/>
    <w:qFormat/>
    <w:uiPriority w:val="0"/>
    <w:rPr>
      <w:kern w:val="2"/>
      <w:sz w:val="32"/>
      <w:szCs w:val="32"/>
      <w:lang w:val="en-US" w:eastAsia="zh-CN" w:bidi="ar-SA"/>
    </w:rPr>
  </w:style>
  <w:style w:type="paragraph" w:customStyle="1" w:styleId="27">
    <w:name w:val="表内本"/>
    <w:basedOn w:val="1"/>
    <w:qFormat/>
    <w:uiPriority w:val="0"/>
    <w:pPr>
      <w:widowControl/>
      <w:adjustRightInd w:val="0"/>
      <w:spacing w:line="240" w:lineRule="atLeast"/>
      <w:jc w:val="center"/>
      <w:textAlignment w:val="baseline"/>
    </w:pPr>
    <w:rPr>
      <w:color w:val="000000"/>
      <w:kern w:val="0"/>
      <w:szCs w:val="21"/>
    </w:rPr>
  </w:style>
  <w:style w:type="paragraph" w:customStyle="1" w:styleId="28">
    <w:name w:val="li_正文"/>
    <w:basedOn w:val="1"/>
    <w:qFormat/>
    <w:uiPriority w:val="0"/>
    <w:pPr>
      <w:adjustRightInd w:val="0"/>
      <w:snapToGrid w:val="0"/>
      <w:spacing w:line="360" w:lineRule="auto"/>
      <w:ind w:firstLine="200" w:firstLineChars="200"/>
      <w:jc w:val="left"/>
    </w:pPr>
    <w:rPr>
      <w:rFonts w:ascii="宋体" w:hAnsi="Calibri"/>
      <w:sz w:val="24"/>
      <w:szCs w:val="28"/>
    </w:rPr>
  </w:style>
  <w:style w:type="paragraph" w:customStyle="1" w:styleId="29">
    <w:name w:val="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2252</Words>
  <Characters>2425</Characters>
  <Lines>0</Lines>
  <Paragraphs>0</Paragraphs>
  <TotalTime>305</TotalTime>
  <ScaleCrop>false</ScaleCrop>
  <LinksUpToDate>false</LinksUpToDate>
  <CharactersWithSpaces>2449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2023-02-25T09:52:00Z</dcterms:created>
  <dc:creator>梁靚小靚</dc:creator>
  <cp:lastModifiedBy>user</cp:lastModifiedBy>
  <cp:lastPrinted>2025-07-25T09:07:49Z</cp:lastPrinted>
  <dcterms:modified xsi:type="dcterms:W3CDTF">2025-07-25T09:14:13Z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F5650F1661F6F0919ABD79686F02C9EE</vt:lpwstr>
  </property>
</Properties>
</file>