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349F3">
      <w:pPr>
        <w:pStyle w:val="14"/>
        <w:keepNext w:val="0"/>
        <w:keepLines w:val="0"/>
        <w:pageBreakBefore w:val="0"/>
        <w:kinsoku/>
        <w:wordWrap/>
        <w:overflowPunct/>
        <w:topLinePunct w:val="0"/>
        <w:autoSpaceDE/>
        <w:autoSpaceDN/>
        <w:bidi w:val="0"/>
        <w:spacing w:before="0" w:beforeAutospacing="0" w:after="0" w:afterAutospacing="0" w:line="600" w:lineRule="exact"/>
        <w:ind w:left="0" w:leftChars="0"/>
        <w:jc w:val="center"/>
        <w:rPr>
          <w:rFonts w:hint="default" w:ascii="Times New Roman" w:hAnsi="Times New Roman" w:eastAsia="仿宋" w:cs="Times New Roman"/>
          <w:b/>
          <w:bCs/>
          <w:color w:val="000000"/>
          <w:sz w:val="32"/>
          <w:szCs w:val="32"/>
        </w:rPr>
      </w:pPr>
    </w:p>
    <w:p w14:paraId="13BD3306">
      <w:pPr>
        <w:pStyle w:val="14"/>
        <w:keepNext w:val="0"/>
        <w:keepLines w:val="0"/>
        <w:pageBreakBefore w:val="0"/>
        <w:kinsoku/>
        <w:wordWrap/>
        <w:overflowPunct/>
        <w:topLinePunct w:val="0"/>
        <w:autoSpaceDE/>
        <w:autoSpaceDN/>
        <w:bidi w:val="0"/>
        <w:spacing w:before="0" w:beforeAutospacing="0" w:after="0" w:afterAutospacing="0" w:line="600" w:lineRule="exact"/>
        <w:ind w:left="0" w:leftChars="0"/>
        <w:jc w:val="center"/>
        <w:rPr>
          <w:rFonts w:hint="default" w:ascii="Times New Roman" w:hAnsi="Times New Roman" w:eastAsia="仿宋" w:cs="Times New Roman"/>
          <w:b/>
          <w:bCs/>
          <w:color w:val="000000"/>
          <w:sz w:val="32"/>
          <w:szCs w:val="32"/>
        </w:rPr>
      </w:pPr>
    </w:p>
    <w:p w14:paraId="1D807F54">
      <w:pPr>
        <w:pStyle w:val="14"/>
        <w:keepNext w:val="0"/>
        <w:keepLines w:val="0"/>
        <w:pageBreakBefore w:val="0"/>
        <w:kinsoku/>
        <w:wordWrap/>
        <w:overflowPunct/>
        <w:topLinePunct w:val="0"/>
        <w:autoSpaceDE/>
        <w:autoSpaceDN/>
        <w:bidi w:val="0"/>
        <w:spacing w:before="0" w:beforeAutospacing="0" w:after="0" w:afterAutospacing="0" w:line="600" w:lineRule="exact"/>
        <w:ind w:left="0" w:leftChars="0"/>
        <w:jc w:val="center"/>
        <w:rPr>
          <w:rFonts w:hint="default" w:ascii="Times New Roman" w:hAnsi="Times New Roman" w:eastAsia="仿宋" w:cs="Times New Roman"/>
          <w:b/>
          <w:bCs/>
          <w:color w:val="000000"/>
          <w:sz w:val="32"/>
          <w:szCs w:val="32"/>
        </w:rPr>
      </w:pPr>
    </w:p>
    <w:p w14:paraId="57346959">
      <w:pPr>
        <w:pStyle w:val="14"/>
        <w:keepNext w:val="0"/>
        <w:keepLines w:val="0"/>
        <w:pageBreakBefore w:val="0"/>
        <w:kinsoku/>
        <w:wordWrap/>
        <w:overflowPunct/>
        <w:topLinePunct w:val="0"/>
        <w:autoSpaceDE/>
        <w:autoSpaceDN/>
        <w:bidi w:val="0"/>
        <w:spacing w:before="0" w:beforeAutospacing="0" w:after="0" w:afterAutospacing="0" w:line="600" w:lineRule="exact"/>
        <w:ind w:left="0" w:leftChars="0"/>
        <w:jc w:val="center"/>
        <w:rPr>
          <w:rFonts w:hint="default" w:ascii="Times New Roman" w:hAnsi="Times New Roman" w:eastAsia="仿宋" w:cs="Times New Roman"/>
          <w:b/>
          <w:bCs/>
          <w:color w:val="000000"/>
          <w:sz w:val="32"/>
          <w:szCs w:val="32"/>
        </w:rPr>
      </w:pPr>
    </w:p>
    <w:p w14:paraId="2C83C2F7">
      <w:pPr>
        <w:pStyle w:val="14"/>
        <w:keepNext w:val="0"/>
        <w:keepLines w:val="0"/>
        <w:pageBreakBefore w:val="0"/>
        <w:kinsoku/>
        <w:wordWrap/>
        <w:overflowPunct/>
        <w:topLinePunct w:val="0"/>
        <w:autoSpaceDE/>
        <w:autoSpaceDN/>
        <w:bidi w:val="0"/>
        <w:spacing w:before="0" w:beforeAutospacing="0" w:after="0" w:afterAutospacing="0" w:line="600" w:lineRule="exact"/>
        <w:ind w:left="0" w:leftChars="0"/>
        <w:jc w:val="center"/>
        <w:rPr>
          <w:rFonts w:hint="default" w:ascii="Times New Roman" w:hAnsi="Times New Roman" w:eastAsia="仿宋" w:cs="Times New Roman"/>
          <w:b/>
          <w:bCs/>
          <w:color w:val="000000"/>
          <w:sz w:val="32"/>
          <w:szCs w:val="32"/>
        </w:rPr>
      </w:pPr>
    </w:p>
    <w:p w14:paraId="5FEB5E3D">
      <w:pPr>
        <w:pStyle w:val="14"/>
        <w:keepNext w:val="0"/>
        <w:keepLines w:val="0"/>
        <w:pageBreakBefore w:val="0"/>
        <w:kinsoku/>
        <w:wordWrap/>
        <w:overflowPunct/>
        <w:topLinePunct w:val="0"/>
        <w:autoSpaceDE/>
        <w:autoSpaceDN/>
        <w:bidi w:val="0"/>
        <w:spacing w:before="0" w:beforeAutospacing="0" w:after="0" w:afterAutospacing="0" w:line="600" w:lineRule="exact"/>
        <w:ind w:left="0" w:leftChars="0"/>
        <w:jc w:val="both"/>
        <w:rPr>
          <w:rFonts w:hint="default" w:ascii="Times New Roman" w:hAnsi="Times New Roman" w:eastAsia="仿宋" w:cs="Times New Roman"/>
          <w:b/>
          <w:bCs/>
          <w:color w:val="000000"/>
          <w:sz w:val="32"/>
          <w:szCs w:val="32"/>
        </w:rPr>
      </w:pPr>
    </w:p>
    <w:p w14:paraId="17EB2498">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lang w:eastAsia="zh-CN"/>
        </w:rPr>
        <w:t>枣</w:t>
      </w:r>
      <w:r>
        <w:rPr>
          <w:rFonts w:hint="default" w:ascii="Times New Roman" w:hAnsi="Times New Roman" w:eastAsia="仿宋_GB2312" w:cs="Times New Roman"/>
          <w:b w:val="0"/>
          <w:bCs w:val="0"/>
          <w:color w:val="000000"/>
          <w:sz w:val="32"/>
          <w:szCs w:val="32"/>
        </w:rPr>
        <w:t>环</w:t>
      </w:r>
      <w:r>
        <w:rPr>
          <w:rFonts w:hint="default" w:ascii="Times New Roman" w:hAnsi="Times New Roman" w:eastAsia="仿宋_GB2312" w:cs="Times New Roman"/>
          <w:b w:val="0"/>
          <w:bCs w:val="0"/>
          <w:color w:val="000000"/>
          <w:sz w:val="32"/>
          <w:szCs w:val="32"/>
          <w:lang w:eastAsia="zh-CN"/>
        </w:rPr>
        <w:t>薛</w:t>
      </w:r>
      <w:r>
        <w:rPr>
          <w:rFonts w:hint="default" w:ascii="Times New Roman" w:hAnsi="Times New Roman" w:eastAsia="仿宋_GB2312" w:cs="Times New Roman"/>
          <w:b w:val="0"/>
          <w:bCs w:val="0"/>
          <w:color w:val="000000"/>
          <w:sz w:val="32"/>
          <w:szCs w:val="32"/>
        </w:rPr>
        <w:t>审字</w:t>
      </w:r>
      <w:r>
        <w:rPr>
          <w:rFonts w:hint="default" w:ascii="Times New Roman" w:hAnsi="Times New Roman" w:eastAsia="仿宋_GB2312" w:cs="Times New Roman"/>
          <w:b w:val="0"/>
          <w:bCs w:val="0"/>
          <w:color w:val="000000"/>
          <w:sz w:val="32"/>
          <w:szCs w:val="32"/>
          <w:highlight w:val="none"/>
        </w:rPr>
        <w:t>〔20</w:t>
      </w:r>
      <w:r>
        <w:rPr>
          <w:rFonts w:hint="default" w:ascii="Times New Roman" w:hAnsi="Times New Roman" w:eastAsia="仿宋_GB2312" w:cs="Times New Roman"/>
          <w:b w:val="0"/>
          <w:bCs w:val="0"/>
          <w:color w:val="000000"/>
          <w:sz w:val="32"/>
          <w:szCs w:val="32"/>
          <w:highlight w:val="none"/>
          <w:lang w:val="en-US" w:eastAsia="zh-CN"/>
        </w:rPr>
        <w:t>25</w:t>
      </w:r>
      <w:r>
        <w:rPr>
          <w:rFonts w:hint="default" w:ascii="Times New Roman" w:hAnsi="Times New Roman" w:eastAsia="仿宋_GB2312" w:cs="Times New Roman"/>
          <w:b w:val="0"/>
          <w:bCs w:val="0"/>
          <w:color w:val="000000"/>
          <w:sz w:val="32"/>
          <w:szCs w:val="32"/>
          <w:highlight w:val="none"/>
        </w:rPr>
        <w:t>〕B</w:t>
      </w:r>
      <w:r>
        <w:rPr>
          <w:rFonts w:hint="default" w:ascii="Times New Roman" w:hAnsi="Times New Roman" w:eastAsia="仿宋_GB2312" w:cs="Times New Roman"/>
          <w:b w:val="0"/>
          <w:bCs w:val="0"/>
          <w:color w:val="000000"/>
          <w:sz w:val="32"/>
          <w:szCs w:val="32"/>
          <w:highlight w:val="none"/>
          <w:lang w:val="en-US" w:eastAsia="zh-CN"/>
        </w:rPr>
        <w:t>-26</w:t>
      </w:r>
    </w:p>
    <w:p w14:paraId="7F538F0C">
      <w:pPr>
        <w:pStyle w:val="14"/>
        <w:keepNext w:val="0"/>
        <w:keepLines w:val="0"/>
        <w:pageBreakBefore w:val="0"/>
        <w:tabs>
          <w:tab w:val="left" w:pos="7102"/>
        </w:tabs>
        <w:kinsoku/>
        <w:wordWrap/>
        <w:overflowPunct/>
        <w:topLinePunct w:val="0"/>
        <w:autoSpaceDE/>
        <w:autoSpaceDN/>
        <w:bidi w:val="0"/>
        <w:spacing w:before="0" w:beforeAutospacing="0" w:after="0" w:afterAutospacing="0" w:line="600" w:lineRule="exact"/>
        <w:ind w:left="0" w:leftChars="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ab/>
      </w:r>
    </w:p>
    <w:p w14:paraId="33100BC8">
      <w:pPr>
        <w:keepNext w:val="0"/>
        <w:keepLines w:val="0"/>
        <w:pageBreakBefore w:val="0"/>
        <w:widowControl/>
        <w:kinsoku/>
        <w:wordWrap/>
        <w:overflowPunct/>
        <w:topLinePunct w:val="0"/>
        <w:autoSpaceDE/>
        <w:autoSpaceDN/>
        <w:bidi w:val="0"/>
        <w:spacing w:line="600" w:lineRule="exact"/>
        <w:ind w:left="0" w:left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关于山东净源资源循环科技有限公司40万</w:t>
      </w:r>
    </w:p>
    <w:p w14:paraId="35D4199B">
      <w:pPr>
        <w:keepNext w:val="0"/>
        <w:keepLines w:val="0"/>
        <w:pageBreakBefore w:val="0"/>
        <w:widowControl/>
        <w:kinsoku/>
        <w:wordWrap/>
        <w:overflowPunct/>
        <w:topLinePunct w:val="0"/>
        <w:autoSpaceDE/>
        <w:autoSpaceDN/>
        <w:bidi w:val="0"/>
        <w:spacing w:line="600" w:lineRule="exact"/>
        <w:ind w:left="0" w:left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吨年替代燃料综合利用工业固废项目环境影响报告表的批复</w:t>
      </w:r>
    </w:p>
    <w:p w14:paraId="00E18EF1">
      <w:pPr>
        <w:pStyle w:val="24"/>
        <w:keepNext w:val="0"/>
        <w:keepLines w:val="0"/>
        <w:pageBreakBefore w:val="0"/>
        <w:tabs>
          <w:tab w:val="left" w:pos="3030"/>
        </w:tabs>
        <w:kinsoku/>
        <w:wordWrap/>
        <w:overflowPunct/>
        <w:topLinePunct w:val="0"/>
        <w:autoSpaceDE/>
        <w:autoSpaceDN/>
        <w:bidi w:val="0"/>
        <w:spacing w:line="600" w:lineRule="exact"/>
        <w:ind w:left="0" w:leftChars="0" w:firstLine="640" w:firstLineChars="200"/>
        <w:rPr>
          <w:rFonts w:hint="default" w:ascii="Times New Roman" w:hAnsi="Times New Roman" w:eastAsia="仿宋_GB2312" w:cs="Times New Roman"/>
          <w:sz w:val="32"/>
          <w:szCs w:val="32"/>
        </w:rPr>
      </w:pPr>
    </w:p>
    <w:p w14:paraId="34B5779D">
      <w:pPr>
        <w:pStyle w:val="24"/>
        <w:keepNext w:val="0"/>
        <w:keepLines w:val="0"/>
        <w:pageBreakBefore w:val="0"/>
        <w:tabs>
          <w:tab w:val="left" w:pos="3030"/>
        </w:tabs>
        <w:kinsoku/>
        <w:wordWrap/>
        <w:overflowPunct/>
        <w:topLinePunct w:val="0"/>
        <w:autoSpaceDE/>
        <w:autoSpaceDN/>
        <w:bidi w:val="0"/>
        <w:spacing w:line="600" w:lineRule="exact"/>
        <w:ind w:left="0" w:leftChars="0" w:firstLine="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山东净源资源循环科技有限公司： </w:t>
      </w:r>
    </w:p>
    <w:p w14:paraId="120EFF92">
      <w:pPr>
        <w:pStyle w:val="24"/>
        <w:keepNext w:val="0"/>
        <w:keepLines w:val="0"/>
        <w:pageBreakBefore w:val="0"/>
        <w:tabs>
          <w:tab w:val="left" w:pos="3030"/>
        </w:tabs>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你公司报送的《40万吨年替代燃料综合利用工业固废项目环境影响报告表》收悉。经研究，批复如下：</w:t>
      </w:r>
    </w:p>
    <w:p w14:paraId="045F887F">
      <w:pPr>
        <w:pStyle w:val="24"/>
        <w:keepNext w:val="0"/>
        <w:keepLines w:val="0"/>
        <w:pageBreakBefore w:val="0"/>
        <w:tabs>
          <w:tab w:val="left" w:pos="3030"/>
        </w:tabs>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一、项目属于新建，位于枣庄市薛城区陶庄镇院山社区以西260m处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项目总投资5000万元，其中环保投资70万元。项目建成后</w:t>
      </w:r>
      <w:r>
        <w:rPr>
          <w:rFonts w:hint="eastAsia" w:ascii="Times New Roman" w:hAnsi="Times New Roman" w:eastAsia="仿宋_GB2312" w:cs="Times New Roman"/>
          <w:sz w:val="32"/>
          <w:szCs w:val="32"/>
          <w:lang w:val="en-US" w:eastAsia="zh-CN"/>
        </w:rPr>
        <w:t>产能为</w:t>
      </w:r>
      <w:r>
        <w:rPr>
          <w:rFonts w:hint="default" w:ascii="Times New Roman" w:hAnsi="Times New Roman" w:eastAsia="仿宋_GB2312" w:cs="Times New Roman"/>
          <w:sz w:val="32"/>
          <w:szCs w:val="32"/>
        </w:rPr>
        <w:t>年产40万吨/年替代燃料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主要建设内容：</w:t>
      </w:r>
      <w:r>
        <w:rPr>
          <w:rFonts w:hint="default" w:ascii="Times New Roman" w:hAnsi="Times New Roman" w:eastAsia="仿宋_GB2312" w:cs="Times New Roman"/>
          <w:sz w:val="32"/>
          <w:szCs w:val="32"/>
        </w:rPr>
        <w:t>项目不新增用地，通过租赁现有厂区及闲置车间进行建设，利用供水、供电等公用设施，购置撕碎机、输送机、磁选机、挤出机等设施设备36台(套)，将一般工业固废、废布料、废轮胎、废皮料、废编织料、装修垃圾等混合由撕碎机进行撕碎、分选，破碎后的物料挤出、打包成型(项目仅进行物理撕碎、分选等生产过程)。</w:t>
      </w:r>
    </w:p>
    <w:p w14:paraId="46EA341A">
      <w:pPr>
        <w:keepNext w:val="0"/>
        <w:keepLines w:val="0"/>
        <w:pageBreakBefore w:val="0"/>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在符合产业政策与产业发展规划、选址符合城市总体规划和区域土地利用规划等前提下，根据</w:t>
      </w:r>
      <w:r>
        <w:rPr>
          <w:rFonts w:hint="eastAsia" w:ascii="Times New Roman" w:hAnsi="Times New Roman" w:eastAsia="仿宋_GB2312" w:cs="Times New Roman"/>
          <w:sz w:val="32"/>
          <w:szCs w:val="32"/>
          <w:lang w:val="en-US" w:eastAsia="zh-CN"/>
        </w:rPr>
        <w:t>环境影响</w:t>
      </w:r>
      <w:r>
        <w:rPr>
          <w:rFonts w:hint="default" w:ascii="Times New Roman" w:hAnsi="Times New Roman" w:eastAsia="仿宋_GB2312" w:cs="Times New Roman"/>
          <w:sz w:val="32"/>
          <w:szCs w:val="32"/>
        </w:rPr>
        <w:t>报告</w:t>
      </w:r>
      <w:r>
        <w:rPr>
          <w:rFonts w:hint="eastAsia" w:ascii="Times New Roman" w:hAnsi="Times New Roman" w:eastAsia="仿宋_GB2312" w:cs="Times New Roman"/>
          <w:sz w:val="32"/>
          <w:szCs w:val="32"/>
          <w:lang w:val="en-US" w:eastAsia="zh-CN"/>
        </w:rPr>
        <w:t>表内容</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rPr>
        <w:t>在全面落实环境影响报告表提出的各项生态保护和污染防治措施后，工程对环境的不利影响能够得到减缓和控制。</w:t>
      </w:r>
      <w:r>
        <w:rPr>
          <w:rFonts w:hint="default" w:ascii="Times New Roman" w:hAnsi="Times New Roman" w:eastAsia="仿宋_GB2312" w:cs="Times New Roman"/>
          <w:sz w:val="32"/>
          <w:szCs w:val="32"/>
        </w:rPr>
        <w:t>从环境保护角度分析，</w:t>
      </w:r>
      <w:r>
        <w:rPr>
          <w:rFonts w:hint="default" w:ascii="Times New Roman" w:hAnsi="Times New Roman" w:eastAsia="仿宋_GB2312" w:cs="Times New Roman"/>
          <w:bCs/>
          <w:sz w:val="32"/>
          <w:szCs w:val="32"/>
        </w:rPr>
        <w:t>我局原则同意你公司按照报告表所列地点、工艺、规模和环境保护对策措施开展项目建设。</w:t>
      </w:r>
    </w:p>
    <w:p w14:paraId="06A3BCC8">
      <w:pPr>
        <w:pStyle w:val="24"/>
        <w:keepNext w:val="0"/>
        <w:keepLines w:val="0"/>
        <w:pageBreakBefore w:val="0"/>
        <w:tabs>
          <w:tab w:val="left" w:pos="3030"/>
        </w:tabs>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二、项目在运营中须严格落实环境影响报告表提出的污染防治措施和以下要求：</w:t>
      </w:r>
    </w:p>
    <w:p w14:paraId="253CEB70">
      <w:pPr>
        <w:keepNext w:val="0"/>
        <w:keepLines w:val="0"/>
        <w:pageBreakBefore w:val="0"/>
        <w:widowControl/>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（一）</w:t>
      </w:r>
      <w:r>
        <w:rPr>
          <w:rFonts w:hint="default" w:ascii="Times New Roman" w:hAnsi="Times New Roman" w:eastAsia="仿宋_GB2312" w:cs="Times New Roman"/>
          <w:sz w:val="32"/>
          <w:szCs w:val="32"/>
        </w:rPr>
        <w:t>加强施工环境管理。合理安排施工时间，优化施工工艺，防止工程施工造成环境污染和生态破坏。</w:t>
      </w:r>
    </w:p>
    <w:p w14:paraId="3FAC2B4C">
      <w:pPr>
        <w:keepNext w:val="0"/>
        <w:keepLines w:val="0"/>
        <w:pageBreakBefore w:val="0"/>
        <w:widowControl/>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（二）</w:t>
      </w:r>
      <w:r>
        <w:rPr>
          <w:rFonts w:hint="default" w:ascii="Times New Roman" w:hAnsi="Times New Roman" w:eastAsia="仿宋_GB2312" w:cs="Times New Roman"/>
          <w:sz w:val="32"/>
          <w:szCs w:val="32"/>
        </w:rPr>
        <w:t>严格落实大气污染防治措施。一级破碎、二级破碎、三级破碎环节产生的含尘废气、臭气经</w:t>
      </w:r>
      <w:r>
        <w:rPr>
          <w:rFonts w:hint="eastAsia" w:ascii="Times New Roman" w:hAnsi="Times New Roman" w:eastAsia="仿宋_GB2312" w:cs="Times New Roman"/>
          <w:sz w:val="32"/>
          <w:szCs w:val="32"/>
          <w:lang w:val="en-US" w:eastAsia="zh-CN"/>
        </w:rPr>
        <w:t>负压</w:t>
      </w:r>
      <w:r>
        <w:rPr>
          <w:rFonts w:hint="default" w:ascii="Times New Roman" w:hAnsi="Times New Roman" w:eastAsia="仿宋_GB2312" w:cs="Times New Roman"/>
          <w:sz w:val="32"/>
          <w:szCs w:val="32"/>
        </w:rPr>
        <w:t>集气罩+布袋除尘器+生物除臭装置处理，处理后经1根15m高的DA001排气筒排放，DA001排气筒有组织颗粒物排放执行《区域性大气污染物综合排放标准》（DB37/2376-2019）表1重点控制区排放浓度限值；臭气浓度排放执行《恶臭污染物排放标准》（GB14554-1993）表2排放限值。</w:t>
      </w:r>
    </w:p>
    <w:p w14:paraId="77A43A03">
      <w:pPr>
        <w:keepNext w:val="0"/>
        <w:keepLines w:val="0"/>
        <w:pageBreakBefore w:val="0"/>
        <w:widowControl/>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严格落实报告表提出的无组织排放措施。</w:t>
      </w:r>
      <w:r>
        <w:rPr>
          <w:rFonts w:hint="default" w:ascii="Times New Roman" w:hAnsi="Times New Roman" w:eastAsia="仿宋_GB2312" w:cs="Times New Roman"/>
          <w:sz w:val="32"/>
          <w:szCs w:val="32"/>
        </w:rPr>
        <w:t>装卸、堆存、上料、液压打包、挤出打包环节废气以无组织形式排放，无组织颗粒物排放执行《大气污染物综合排放标准》(GB16297-1996)表2无组织排放监控浓度限值；臭气浓度排放执行《恶臭污染物排放标准》（GB14554-1993）表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二级，新改扩建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限值。</w:t>
      </w:r>
    </w:p>
    <w:p w14:paraId="497253A7">
      <w:pPr>
        <w:keepNext w:val="0"/>
        <w:keepLines w:val="0"/>
        <w:pageBreakBefore w:val="0"/>
        <w:widowControl/>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（三）严格落实水污染防治措施。按照“雨污分流、清污分流、污污分流”原则完善厂区排水系统。生活污水经化粪池收集后定期清运。</w:t>
      </w:r>
    </w:p>
    <w:p w14:paraId="55AADB39">
      <w:pPr>
        <w:keepNext w:val="0"/>
        <w:keepLines w:val="0"/>
        <w:pageBreakBefore w:val="0"/>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lang w:val="en-US" w:eastAsia="zh-CN"/>
        </w:rPr>
        <w:t>严格落实土壤和地下水污染防治措施。以“源头防控、分区防治、污染监控、应急响应”为原则进行地下水污染防治，强化厂区防漏及事故废水应急收集处理。及时启动应急预案和应急措施，应对土壤或地下水污染。</w:t>
      </w:r>
    </w:p>
    <w:p w14:paraId="4047BC31">
      <w:pPr>
        <w:keepNext w:val="0"/>
        <w:keepLines w:val="0"/>
        <w:pageBreakBefore w:val="0"/>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（五）严格落实噪声污染防治措施。通过合理布局，采用防噪、降噪、选用低噪声设备，减振及厂房隔音处理等有效措施后，厂界噪声执行《工业企业厂界环境噪声排放标准》(GB12348-2008)中2类标准。</w:t>
      </w:r>
    </w:p>
    <w:p w14:paraId="290C18E9">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rPr>
        <w:t>（六）严格落实固体废物分类处置措施。</w:t>
      </w:r>
      <w:r>
        <w:rPr>
          <w:rFonts w:hint="default" w:ascii="Times New Roman" w:hAnsi="Times New Roman" w:eastAsia="仿宋_GB2312" w:cs="Times New Roman"/>
          <w:kern w:val="2"/>
          <w:sz w:val="32"/>
          <w:szCs w:val="32"/>
          <w:lang w:val="en-US" w:eastAsia="zh-CN" w:bidi="ar-SA"/>
        </w:rPr>
        <w:t>一般固体废物全部合理综合利用或回收处置，贮存过程应符合《一般工业固体废物贮存和填埋污染控制标准》(GB 18599-2020)中相应防渗漏、防雨淋、防扬尘等环境保护的要求。</w:t>
      </w:r>
      <w:r>
        <w:rPr>
          <w:rFonts w:hint="default" w:ascii="Times New Roman" w:hAnsi="Times New Roman" w:eastAsia="仿宋_GB2312" w:cs="Times New Roman"/>
          <w:sz w:val="32"/>
          <w:szCs w:val="32"/>
        </w:rPr>
        <w:t>废润滑油、废油桶、废液压油</w:t>
      </w:r>
      <w:r>
        <w:rPr>
          <w:rFonts w:hint="default" w:ascii="Times New Roman" w:hAnsi="Times New Roman" w:eastAsia="仿宋_GB2312" w:cs="Times New Roman"/>
          <w:kern w:val="2"/>
          <w:sz w:val="32"/>
          <w:szCs w:val="32"/>
          <w:lang w:val="en-US" w:eastAsia="zh-CN" w:bidi="ar-SA"/>
        </w:rPr>
        <w:t>等危险废物的收集、贮存和转运须达到《危险废物收集、贮存、运输技术规范》(HJ2025-2012)以及《危险废物贮存污染控制标准》 (GB18597-2023) 的相关要求，委托危废资质单位处置。</w:t>
      </w:r>
      <w:r>
        <w:rPr>
          <w:rFonts w:hint="default" w:ascii="Times New Roman" w:hAnsi="Times New Roman" w:eastAsia="仿宋_GB2312" w:cs="Times New Roman"/>
          <w:b w:val="0"/>
          <w:bCs w:val="0"/>
          <w:sz w:val="32"/>
          <w:szCs w:val="32"/>
          <w:lang w:val="en-US" w:eastAsia="zh-CN"/>
        </w:rPr>
        <w:t>生活垃圾委托环卫部门定期清运处置。</w:t>
      </w:r>
    </w:p>
    <w:p w14:paraId="28DEC34C">
      <w:pPr>
        <w:keepNext w:val="0"/>
        <w:keepLines w:val="0"/>
        <w:pageBreakBefore w:val="0"/>
        <w:widowControl w:val="0"/>
        <w:kinsoku/>
        <w:wordWrap/>
        <w:overflowPunct/>
        <w:topLinePunct w:val="0"/>
        <w:autoSpaceDE/>
        <w:autoSpaceDN/>
        <w:bidi w:val="0"/>
        <w:spacing w:beforeAutospacing="0" w:afterAutospacing="0" w:line="580" w:lineRule="exact"/>
        <w:ind w:left="0" w:leftChars="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（七）健全环境管理制度。</w:t>
      </w:r>
      <w:r>
        <w:rPr>
          <w:rFonts w:hint="default" w:ascii="Times New Roman" w:hAnsi="Times New Roman" w:eastAsia="仿宋_GB2312" w:cs="Times New Roman"/>
          <w:sz w:val="32"/>
          <w:szCs w:val="32"/>
          <w:lang w:val="en-US" w:eastAsia="zh-CN"/>
        </w:rPr>
        <w:t>按照国家和地方有关规定，规范废气治理设施标志牌，标示治理工艺流程图。落实环境影响报告表提出的环境管理及监测计划。环保设备安装“分表计电” 智能控制系统，并与生态环境部门联网。厂区下风向设置符合要求的β射线法PM</w:t>
      </w:r>
      <w:r>
        <w:rPr>
          <w:rFonts w:hint="default" w:ascii="Times New Roman" w:hAnsi="Times New Roman" w:eastAsia="仿宋_GB2312" w:cs="Times New Roman"/>
          <w:sz w:val="32"/>
          <w:szCs w:val="32"/>
          <w:vertAlign w:val="subscript"/>
          <w:lang w:val="en-US" w:eastAsia="zh-CN"/>
        </w:rPr>
        <w:t>10</w:t>
      </w:r>
      <w:r>
        <w:rPr>
          <w:rFonts w:hint="default" w:ascii="Times New Roman" w:hAnsi="Times New Roman" w:eastAsia="仿宋_GB2312" w:cs="Times New Roman"/>
          <w:sz w:val="32"/>
          <w:szCs w:val="32"/>
          <w:lang w:val="en-US" w:eastAsia="zh-CN"/>
        </w:rPr>
        <w:t>扬尘监测设备，确保设备正常运行和数据正常上传。运输车辆须使用新能源运输车，运输物料不得超出运输车辆封闭箱体。非道路移动机械全部使用新能源机械。参照《重污染天气重点行业移动源应急管理技术指南》建立门禁系统和电子台账，门禁系统监控数据按要求与生态环境部门联网。安装视频监控系统，监控范围包括储存、厂区道路、生产车间、洗车平台等地方，做到全覆盖、无盲区、全时段监控，且视频存储时间不得少于三个月。</w:t>
      </w:r>
    </w:p>
    <w:p w14:paraId="520D109D">
      <w:pPr>
        <w:keepNext w:val="0"/>
        <w:keepLines w:val="0"/>
        <w:pageBreakBefore w:val="0"/>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强化环境风险防范和应急措施。制定突发环境事件应急预案，配备必要的事故防范应急设施、设备并演练，切实加强事故应急处理及防范能力，确保环境安全。做好厂区分区防渗。履行安全生产法定职责，对环保设施和项目开展安全风险辨识管理，健全内部管理责任制度，严格依据标准规范建设环保设施和项目，符合安全生产、事故防范的相关规定。</w:t>
      </w:r>
    </w:p>
    <w:p w14:paraId="034EB840">
      <w:pPr>
        <w:keepNext w:val="0"/>
        <w:keepLines w:val="0"/>
        <w:pageBreakBefore w:val="0"/>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（九）该项目运营后，颗粒物总量指标控制在0.496t/a以内。</w:t>
      </w:r>
    </w:p>
    <w:p w14:paraId="75B91E4D">
      <w:pPr>
        <w:keepNext w:val="0"/>
        <w:keepLines w:val="0"/>
        <w:pageBreakBefore w:val="0"/>
        <w:kinsoku/>
        <w:wordWrap/>
        <w:overflowPunct/>
        <w:topLinePunct w:val="0"/>
        <w:autoSpaceDE/>
        <w:autoSpaceDN/>
        <w:bidi w:val="0"/>
        <w:spacing w:line="600" w:lineRule="exact"/>
        <w:ind w:left="0" w:leftChars="0" w:firstLine="640" w:firstLineChars="200"/>
        <w:jc w:val="both"/>
        <w:rPr>
          <w:rStyle w:val="26"/>
          <w:rFonts w:hint="default" w:ascii="Times New Roman" w:hAnsi="Times New Roman" w:eastAsia="仿宋_GB2312" w:cs="Times New Roman"/>
        </w:rPr>
      </w:pPr>
      <w:r>
        <w:rPr>
          <w:rFonts w:hint="default" w:ascii="Times New Roman" w:hAnsi="Times New Roman" w:eastAsia="仿宋_GB2312" w:cs="Times New Roman"/>
          <w:bCs/>
          <w:color w:val="000000"/>
          <w:sz w:val="32"/>
          <w:szCs w:val="32"/>
        </w:rPr>
        <w:t>（十）</w:t>
      </w:r>
      <w:r>
        <w:rPr>
          <w:rFonts w:hint="default" w:ascii="Times New Roman" w:hAnsi="Times New Roman" w:eastAsia="仿宋_GB2312" w:cs="Times New Roman"/>
          <w:sz w:val="32"/>
          <w:szCs w:val="32"/>
        </w:rPr>
        <w:t>强化环境信息公开与公众参与机制。在项目运营过程中，落实建设项目环评信息公开主体责任，针对项目建设的不同阶段，按规定发布企业环境保护信息，自觉接受社会监督。建立畅通的公众参与渠道，加强宣传与沟通工作，及时解决公众反映的环境问题，满足公众合理的环境保护要求</w:t>
      </w:r>
      <w:r>
        <w:rPr>
          <w:rStyle w:val="26"/>
          <w:rFonts w:hint="default" w:ascii="Times New Roman" w:hAnsi="Times New Roman" w:eastAsia="仿宋_GB2312" w:cs="Times New Roman"/>
        </w:rPr>
        <w:t>。</w:t>
      </w:r>
    </w:p>
    <w:p w14:paraId="18B8540D">
      <w:pPr>
        <w:pStyle w:val="2"/>
        <w:keepNext w:val="0"/>
        <w:keepLines w:val="0"/>
        <w:pageBreakBefore w:val="0"/>
        <w:kinsoku/>
        <w:wordWrap/>
        <w:overflowPunct/>
        <w:topLinePunct w:val="0"/>
        <w:autoSpaceDE/>
        <w:autoSpaceDN/>
        <w:bidi w:val="0"/>
        <w:spacing w:after="0" w:line="600" w:lineRule="exact"/>
        <w:ind w:left="0" w:lef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严格执行配套建设的环境保护设施与主体项目同时设计、同时施工、同时投入使用的“三同时”制度，落实各项环境保护措施。项目建成后，须按规定程序申领排污许可证、实施竣工环境保护验收，验收通过后，方可正式投运。</w:t>
      </w:r>
    </w:p>
    <w:p w14:paraId="14818F94">
      <w:pPr>
        <w:pStyle w:val="2"/>
        <w:keepNext w:val="0"/>
        <w:keepLines w:val="0"/>
        <w:pageBreakBefore w:val="0"/>
        <w:kinsoku/>
        <w:wordWrap/>
        <w:overflowPunct/>
        <w:topLinePunct w:val="0"/>
        <w:autoSpaceDE/>
        <w:autoSpaceDN/>
        <w:bidi w:val="0"/>
        <w:spacing w:after="0" w:line="600" w:lineRule="exact"/>
        <w:ind w:left="0" w:lef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环境影响报告表经批准后，项目的性质、规模、地点、生产工艺或者防治污染、防止生态破坏的措施发生重大变动的，应当重新报批该项目的环境影响报告表。自环境影响报告表批复文件批准之日起，如超过5年项目才开工的，应当在开工前将环境影响报告表报批重新审核。如根据法律法规等相关规定需要进行更严格要求的，实行从严管理。</w:t>
      </w:r>
    </w:p>
    <w:p w14:paraId="189D3DD3">
      <w:pPr>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w:t>
      </w:r>
      <w:r>
        <w:rPr>
          <w:rFonts w:hint="default" w:ascii="Times New Roman" w:hAnsi="Times New Roman" w:eastAsia="仿宋_GB2312" w:cs="Times New Roman"/>
          <w:sz w:val="32"/>
          <w:szCs w:val="32"/>
          <w:highlight w:val="none"/>
        </w:rPr>
        <w:t>薛城</w:t>
      </w:r>
      <w:r>
        <w:rPr>
          <w:rFonts w:hint="default" w:ascii="Times New Roman" w:hAnsi="Times New Roman" w:eastAsia="仿宋_GB2312" w:cs="Times New Roman"/>
          <w:sz w:val="32"/>
          <w:szCs w:val="32"/>
        </w:rPr>
        <w:t>区生态环境保护综合执法大队、陶庄镇人民政府负责该项目建设及运营期间的环境保护监督检查工作。</w:t>
      </w:r>
    </w:p>
    <w:p w14:paraId="6B36DA71">
      <w:pPr>
        <w:keepNext w:val="0"/>
        <w:keepLines w:val="0"/>
        <w:pageBreakBefore w:val="0"/>
        <w:kinsoku/>
        <w:wordWrap/>
        <w:overflowPunct/>
        <w:topLinePunct w:val="0"/>
        <w:autoSpaceDE/>
        <w:autoSpaceDN/>
        <w:bidi w:val="0"/>
        <w:spacing w:line="600" w:lineRule="exact"/>
        <w:ind w:left="0" w:lef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如有符合《中华人民共和国行政许可法》第七十八条“行政许可申请人隐瞒有关情况或者提供虚假材料申请行政许可，行政机关应不予受理或者不予行政许可情形”或不符合相关法律法规规定要求的，本批复自然作废。</w:t>
      </w:r>
    </w:p>
    <w:p w14:paraId="2E2A7679">
      <w:pPr>
        <w:pStyle w:val="15"/>
        <w:keepNext w:val="0"/>
        <w:keepLines w:val="0"/>
        <w:pageBreakBefore w:val="0"/>
        <w:kinsoku/>
        <w:wordWrap/>
        <w:overflowPunct/>
        <w:topLinePunct w:val="0"/>
        <w:autoSpaceDE/>
        <w:autoSpaceDN/>
        <w:bidi w:val="0"/>
        <w:spacing w:line="600" w:lineRule="exact"/>
        <w:ind w:left="0" w:leftChars="0" w:firstLine="0" w:firstLineChars="0"/>
        <w:rPr>
          <w:rFonts w:hint="default" w:ascii="Times New Roman" w:hAnsi="Times New Roman" w:eastAsia="仿宋_GB2312" w:cs="Times New Roman"/>
          <w:sz w:val="32"/>
          <w:szCs w:val="32"/>
        </w:rPr>
      </w:pPr>
    </w:p>
    <w:p w14:paraId="5C4ED72C">
      <w:pPr>
        <w:keepNext w:val="0"/>
        <w:keepLines w:val="0"/>
        <w:pageBreakBefore w:val="0"/>
        <w:kinsoku/>
        <w:wordWrap/>
        <w:overflowPunct/>
        <w:topLinePunct w:val="0"/>
        <w:autoSpaceDE/>
        <w:autoSpaceDN/>
        <w:bidi w:val="0"/>
        <w:spacing w:line="600" w:lineRule="exact"/>
        <w:ind w:left="0" w:leftChars="0" w:firstLine="5120" w:firstLineChars="1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6</w:t>
      </w:r>
      <w:bookmarkStart w:id="0" w:name="_GoBack"/>
      <w:bookmarkEnd w:id="0"/>
      <w:r>
        <w:rPr>
          <w:rFonts w:hint="default" w:ascii="Times New Roman" w:hAnsi="Times New Roman" w:eastAsia="仿宋_GB2312" w:cs="Times New Roman"/>
          <w:sz w:val="32"/>
          <w:szCs w:val="32"/>
        </w:rPr>
        <w:t>日</w:t>
      </w:r>
    </w:p>
    <w:p w14:paraId="6613FF86">
      <w:pPr>
        <w:rPr>
          <w:rFonts w:hint="default" w:ascii="Times New Roman" w:hAnsi="Times New Roman" w:cs="Times New Roman"/>
        </w:rPr>
      </w:pPr>
      <w:r>
        <w:rPr>
          <w:rFonts w:hint="default" w:ascii="Times New Roman" w:hAnsi="Times New Roman" w:cs="Times New Roman"/>
        </w:rPr>
        <w:br w:type="page"/>
      </w:r>
    </w:p>
    <w:p w14:paraId="3DC30DC8">
      <w:pPr>
        <w:pStyle w:val="15"/>
        <w:rPr>
          <w:rFonts w:hint="default" w:ascii="Times New Roman" w:hAnsi="Times New Roman" w:cs="Times New Roman"/>
        </w:rPr>
      </w:pPr>
    </w:p>
    <w:p w14:paraId="016E4172">
      <w:pPr>
        <w:pStyle w:val="15"/>
        <w:rPr>
          <w:rFonts w:hint="default" w:ascii="Times New Roman" w:hAnsi="Times New Roman" w:cs="Times New Roman"/>
        </w:rPr>
      </w:pPr>
    </w:p>
    <w:p w14:paraId="7D93667A">
      <w:pPr>
        <w:pStyle w:val="15"/>
        <w:rPr>
          <w:rFonts w:hint="default" w:ascii="Times New Roman" w:hAnsi="Times New Roman" w:cs="Times New Roman"/>
        </w:rPr>
      </w:pPr>
    </w:p>
    <w:p w14:paraId="57671B6B">
      <w:pPr>
        <w:pStyle w:val="15"/>
        <w:rPr>
          <w:rFonts w:hint="default" w:ascii="Times New Roman" w:hAnsi="Times New Roman" w:cs="Times New Roman"/>
        </w:rPr>
      </w:pPr>
    </w:p>
    <w:p w14:paraId="5866B156">
      <w:pPr>
        <w:pStyle w:val="15"/>
        <w:rPr>
          <w:rFonts w:hint="default" w:ascii="Times New Roman" w:hAnsi="Times New Roman" w:cs="Times New Roman"/>
        </w:rPr>
      </w:pPr>
    </w:p>
    <w:p w14:paraId="053703CA">
      <w:pPr>
        <w:pStyle w:val="15"/>
        <w:rPr>
          <w:rFonts w:hint="default" w:ascii="Times New Roman" w:hAnsi="Times New Roman" w:cs="Times New Roman"/>
        </w:rPr>
      </w:pPr>
    </w:p>
    <w:p w14:paraId="703CD2CD">
      <w:pPr>
        <w:pStyle w:val="15"/>
        <w:rPr>
          <w:rFonts w:hint="default" w:ascii="Times New Roman" w:hAnsi="Times New Roman" w:cs="Times New Roman"/>
        </w:rPr>
      </w:pPr>
    </w:p>
    <w:p w14:paraId="548B2830">
      <w:pPr>
        <w:pStyle w:val="15"/>
        <w:rPr>
          <w:rFonts w:hint="default" w:ascii="Times New Roman" w:hAnsi="Times New Roman" w:cs="Times New Roman"/>
        </w:rPr>
      </w:pPr>
    </w:p>
    <w:p w14:paraId="51AEEDE6">
      <w:pPr>
        <w:pStyle w:val="15"/>
        <w:rPr>
          <w:rFonts w:hint="default" w:ascii="Times New Roman" w:hAnsi="Times New Roman" w:cs="Times New Roman"/>
        </w:rPr>
      </w:pPr>
    </w:p>
    <w:p w14:paraId="089BC7AC">
      <w:pPr>
        <w:pStyle w:val="15"/>
        <w:rPr>
          <w:rFonts w:hint="default" w:ascii="Times New Roman" w:hAnsi="Times New Roman" w:cs="Times New Roman"/>
        </w:rPr>
      </w:pPr>
    </w:p>
    <w:p w14:paraId="136AD53F">
      <w:pPr>
        <w:pStyle w:val="15"/>
        <w:rPr>
          <w:rFonts w:hint="default" w:ascii="Times New Roman" w:hAnsi="Times New Roman" w:cs="Times New Roman"/>
        </w:rPr>
      </w:pPr>
    </w:p>
    <w:p w14:paraId="2A3FD005">
      <w:pPr>
        <w:pStyle w:val="15"/>
        <w:rPr>
          <w:rFonts w:hint="default" w:ascii="Times New Roman" w:hAnsi="Times New Roman" w:cs="Times New Roman"/>
        </w:rPr>
      </w:pPr>
    </w:p>
    <w:p w14:paraId="7BB53439">
      <w:pPr>
        <w:pStyle w:val="15"/>
        <w:rPr>
          <w:rFonts w:hint="default" w:ascii="Times New Roman" w:hAnsi="Times New Roman" w:cs="Times New Roman"/>
        </w:rPr>
      </w:pPr>
    </w:p>
    <w:p w14:paraId="53F5C828">
      <w:pPr>
        <w:pStyle w:val="15"/>
        <w:rPr>
          <w:rFonts w:hint="default" w:ascii="Times New Roman" w:hAnsi="Times New Roman" w:cs="Times New Roman"/>
        </w:rPr>
      </w:pPr>
    </w:p>
    <w:p w14:paraId="751A0A4F">
      <w:pPr>
        <w:pStyle w:val="15"/>
        <w:rPr>
          <w:rFonts w:hint="default" w:ascii="Times New Roman" w:hAnsi="Times New Roman" w:cs="Times New Roman"/>
        </w:rPr>
      </w:pPr>
    </w:p>
    <w:p w14:paraId="36F2D0E0">
      <w:pPr>
        <w:pStyle w:val="15"/>
        <w:rPr>
          <w:rFonts w:hint="default" w:ascii="Times New Roman" w:hAnsi="Times New Roman" w:cs="Times New Roman"/>
        </w:rPr>
      </w:pPr>
    </w:p>
    <w:p w14:paraId="04096379">
      <w:pPr>
        <w:pStyle w:val="15"/>
        <w:rPr>
          <w:rFonts w:hint="default" w:ascii="Times New Roman" w:hAnsi="Times New Roman" w:cs="Times New Roman"/>
        </w:rPr>
      </w:pPr>
    </w:p>
    <w:p w14:paraId="6FD21C54">
      <w:pPr>
        <w:pStyle w:val="15"/>
        <w:rPr>
          <w:rFonts w:hint="default" w:ascii="Times New Roman" w:hAnsi="Times New Roman" w:cs="Times New Roman"/>
        </w:rPr>
      </w:pPr>
    </w:p>
    <w:p w14:paraId="1B7862AF">
      <w:pPr>
        <w:pStyle w:val="15"/>
        <w:rPr>
          <w:rFonts w:hint="default" w:ascii="Times New Roman" w:hAnsi="Times New Roman" w:cs="Times New Roman"/>
        </w:rPr>
      </w:pPr>
    </w:p>
    <w:p w14:paraId="333BAADC">
      <w:pPr>
        <w:pStyle w:val="15"/>
        <w:rPr>
          <w:rFonts w:hint="default" w:ascii="Times New Roman" w:hAnsi="Times New Roman" w:cs="Times New Roman"/>
        </w:rPr>
      </w:pPr>
    </w:p>
    <w:p w14:paraId="2214B582">
      <w:pPr>
        <w:pStyle w:val="15"/>
        <w:rPr>
          <w:rFonts w:hint="default" w:ascii="Times New Roman" w:hAnsi="Times New Roman" w:cs="Times New Roman"/>
        </w:rPr>
      </w:pPr>
    </w:p>
    <w:p w14:paraId="7AE90E95">
      <w:pPr>
        <w:pStyle w:val="15"/>
        <w:rPr>
          <w:rFonts w:hint="default" w:ascii="Times New Roman" w:hAnsi="Times New Roman" w:cs="Times New Roman"/>
        </w:rPr>
      </w:pPr>
    </w:p>
    <w:p w14:paraId="38134B21">
      <w:pPr>
        <w:pStyle w:val="15"/>
        <w:rPr>
          <w:rFonts w:hint="default" w:ascii="Times New Roman" w:hAnsi="Times New Roman" w:cs="Times New Roman"/>
        </w:rPr>
      </w:pPr>
    </w:p>
    <w:p w14:paraId="39EC3A7F">
      <w:pPr>
        <w:pStyle w:val="15"/>
        <w:rPr>
          <w:rFonts w:hint="default" w:ascii="Times New Roman" w:hAnsi="Times New Roman" w:cs="Times New Roman"/>
        </w:rPr>
      </w:pPr>
    </w:p>
    <w:p w14:paraId="2F9B81C4">
      <w:pPr>
        <w:pStyle w:val="15"/>
        <w:rPr>
          <w:rFonts w:hint="default" w:ascii="Times New Roman" w:hAnsi="Times New Roman" w:cs="Times New Roman"/>
        </w:rPr>
      </w:pPr>
    </w:p>
    <w:p w14:paraId="4D339916">
      <w:pPr>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主题词：环保  环境影响评价  报告表  批复</w:t>
      </w:r>
    </w:p>
    <w:p w14:paraId="327A0409">
      <w:pPr>
        <w:pStyle w:val="5"/>
        <w:widowControl/>
        <w:spacing w:beforeAutospacing="0" w:afterAutospacing="0" w:line="580" w:lineRule="exact"/>
        <w:rPr>
          <w:rFonts w:hint="default" w:ascii="Times New Roman" w:hAnsi="Times New Roman" w:eastAsia="仿宋_GB2312" w:cs="Times New Roman"/>
          <w:b w:val="0"/>
          <w:w w:val="95"/>
          <w:sz w:val="32"/>
          <w:szCs w:val="32"/>
        </w:rPr>
      </w:pPr>
      <w:r>
        <w:rPr>
          <w:rFonts w:hint="default" w:ascii="Times New Roman" w:hAnsi="Times New Roman" w:eastAsia="仿宋_GB2312" w:cs="Times New Roman"/>
          <w:b w:val="0"/>
          <w:w w:val="95"/>
          <w:sz w:val="32"/>
          <w:szCs w:val="32"/>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22225</wp:posOffset>
                </wp:positionV>
                <wp:extent cx="5386705" cy="0"/>
                <wp:effectExtent l="0" t="9525" r="4445" b="9525"/>
                <wp:wrapNone/>
                <wp:docPr id="1" name="Line 2"/>
                <wp:cNvGraphicFramePr/>
                <a:graphic xmlns:a="http://schemas.openxmlformats.org/drawingml/2006/main">
                  <a:graphicData uri="http://schemas.microsoft.com/office/word/2010/wordprocessingShape">
                    <wps:wsp>
                      <wps:cNvCnPr/>
                      <wps:spPr>
                        <a:xfrm>
                          <a:off x="0" y="0"/>
                          <a:ext cx="538670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0.5pt;margin-top:1.75pt;height:0pt;width:424.15pt;z-index:251659264;mso-width-relative:page;mso-height-relative:page;" filled="f" stroked="t" coordsize="21600,21600" o:gfxdata="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5Kec10gAAAAUBAAAPAAAAAAAAAAEAIAAAACIAAABk&#10;cnMvZG93bnJldi54bWxQSwECFAAUAAAACACHTuJA46gnWdMBAADOAwAADgAAAAAAAAABACAAAAAh&#10;AQAAZHJzL2Uyb0RvYy54bWxQSwUGAAAAAAYABgBZAQAAZ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b w:val="0"/>
          <w:w w:val="95"/>
          <w:sz w:val="32"/>
          <w:szCs w:val="32"/>
        </w:rPr>
        <w:t>抄 送：薛城区生态环境保护综合执法大队、薛城区应急管理局、山东海盾环境技术有限公司</w:t>
      </w:r>
    </w:p>
    <w:p w14:paraId="4D9EC6D2">
      <w:pPr>
        <w:spacing w:line="580" w:lineRule="exact"/>
        <w:rPr>
          <w:rFonts w:hint="default" w:ascii="Times New Roman" w:hAnsi="Times New Roman" w:eastAsia="仿宋_GB2312" w:cs="Times New Roman"/>
          <w:w w:val="95"/>
          <w:sz w:val="32"/>
          <w:szCs w:val="32"/>
        </w:rPr>
      </w:pPr>
      <w:r>
        <w:rPr>
          <w:rFonts w:hint="default" w:ascii="Times New Roman" w:hAnsi="Times New Roman" w:eastAsia="仿宋_GB2312" w:cs="Times New Roman"/>
          <w:w w:val="95"/>
          <w:sz w:val="32"/>
          <w:szCs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36195</wp:posOffset>
                </wp:positionV>
                <wp:extent cx="5361305" cy="635"/>
                <wp:effectExtent l="0" t="0" r="0" b="0"/>
                <wp:wrapNone/>
                <wp:docPr id="2" name="Line 3"/>
                <wp:cNvGraphicFramePr/>
                <a:graphic xmlns:a="http://schemas.openxmlformats.org/drawingml/2006/main">
                  <a:graphicData uri="http://schemas.microsoft.com/office/word/2010/wordprocessingShape">
                    <wps:wsp>
                      <wps:cNvCnPr/>
                      <wps:spPr>
                        <a:xfrm>
                          <a:off x="0" y="0"/>
                          <a:ext cx="5361305"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0.05pt;margin-top:2.85pt;height:0.05pt;width:422.15pt;z-index:251661312;mso-width-relative:page;mso-height-relative:page;" filled="f" stroked="t" coordsize="21600,21600" o:gfxdata="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&#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gTQEDQAAAABAEAAA8AAAAAAAAAAQAgAAAAIgAAAGRy&#10;cy9kb3ducmV2LnhtbFBLAQIUABQAAAAIAIdO4kB7BofX1AEAANADAAAOAAAAAAAAAAEAIAAAAB8B&#10;AABkcnMvZTJvRG9jLnhtbFBLBQYAAAAABgAGAFkBAABlBQ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w w:val="95"/>
          <w:sz w:val="32"/>
          <w:szCs w:val="32"/>
        </w:rPr>
        <w:t>枣庄市生态环境局薛城分局办公室 2025年</w:t>
      </w:r>
      <w:r>
        <w:rPr>
          <w:rFonts w:hint="default" w:ascii="Times New Roman" w:hAnsi="Times New Roman" w:eastAsia="仿宋_GB2312" w:cs="Times New Roman"/>
          <w:w w:val="95"/>
          <w:sz w:val="32"/>
          <w:szCs w:val="32"/>
          <w:lang w:val="en-US" w:eastAsia="zh-CN"/>
        </w:rPr>
        <w:t>8</w:t>
      </w:r>
      <w:r>
        <w:rPr>
          <w:rFonts w:hint="default" w:ascii="Times New Roman" w:hAnsi="Times New Roman" w:eastAsia="仿宋_GB2312" w:cs="Times New Roman"/>
          <w:w w:val="95"/>
          <w:sz w:val="32"/>
          <w:szCs w:val="32"/>
        </w:rPr>
        <w:t>月</w:t>
      </w:r>
      <w:r>
        <w:rPr>
          <w:rFonts w:hint="eastAsia" w:ascii="Times New Roman" w:hAnsi="Times New Roman" w:eastAsia="仿宋_GB2312" w:cs="Times New Roman"/>
          <w:w w:val="95"/>
          <w:sz w:val="32"/>
          <w:szCs w:val="32"/>
          <w:lang w:val="en-US" w:eastAsia="zh-CN"/>
        </w:rPr>
        <w:t>6</w:t>
      </w:r>
      <w:r>
        <w:rPr>
          <w:rFonts w:hint="default" w:ascii="Times New Roman" w:hAnsi="Times New Roman" w:eastAsia="仿宋_GB2312" w:cs="Times New Roman"/>
          <w:w w:val="95"/>
          <w:sz w:val="32"/>
          <w:szCs w:val="32"/>
        </w:rPr>
        <w:t>日 打印6份</w:t>
      </w:r>
    </w:p>
    <w:sectPr>
      <w:footerReference r:id="rId3" w:type="default"/>
      <w:pgSz w:w="11906" w:h="16838"/>
      <w:pgMar w:top="1701" w:right="1701" w:bottom="1701" w:left="1701" w:header="1134"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D04AA">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5265C">
                          <w:pPr>
                            <w:pStyle w:val="10"/>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AF5265C">
                    <w:pPr>
                      <w:pStyle w:val="10"/>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D3A71D"/>
    <w:multiLevelType w:val="singleLevel"/>
    <w:tmpl w:val="A5D3A71D"/>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3Njk4MzJlNzMyNjY2MWY1OTQzOGQ0OTc1ZTY1MDUifQ=="/>
  </w:docVars>
  <w:rsids>
    <w:rsidRoot w:val="390515EE"/>
    <w:rsid w:val="00033204"/>
    <w:rsid w:val="002410F1"/>
    <w:rsid w:val="003A4DB8"/>
    <w:rsid w:val="004057AD"/>
    <w:rsid w:val="005C2385"/>
    <w:rsid w:val="00813457"/>
    <w:rsid w:val="00820C3B"/>
    <w:rsid w:val="008413E1"/>
    <w:rsid w:val="00887E11"/>
    <w:rsid w:val="00B133B4"/>
    <w:rsid w:val="00BB5951"/>
    <w:rsid w:val="00BC101E"/>
    <w:rsid w:val="00E21954"/>
    <w:rsid w:val="01161381"/>
    <w:rsid w:val="012832B8"/>
    <w:rsid w:val="0167398B"/>
    <w:rsid w:val="024B7873"/>
    <w:rsid w:val="02526DB7"/>
    <w:rsid w:val="027F090F"/>
    <w:rsid w:val="03320CA7"/>
    <w:rsid w:val="03327FC8"/>
    <w:rsid w:val="03D746CC"/>
    <w:rsid w:val="04074FB1"/>
    <w:rsid w:val="040F2FA9"/>
    <w:rsid w:val="043F474B"/>
    <w:rsid w:val="0560706F"/>
    <w:rsid w:val="05D24F9A"/>
    <w:rsid w:val="06FC6923"/>
    <w:rsid w:val="07E86EA8"/>
    <w:rsid w:val="096D58B6"/>
    <w:rsid w:val="09975029"/>
    <w:rsid w:val="0A1C108A"/>
    <w:rsid w:val="0C8353F1"/>
    <w:rsid w:val="0DA516C5"/>
    <w:rsid w:val="0DAB2E51"/>
    <w:rsid w:val="0E6F0323"/>
    <w:rsid w:val="0EA004DC"/>
    <w:rsid w:val="0F2B249C"/>
    <w:rsid w:val="0F582B65"/>
    <w:rsid w:val="10060813"/>
    <w:rsid w:val="106F63B8"/>
    <w:rsid w:val="10E2302E"/>
    <w:rsid w:val="12407B2D"/>
    <w:rsid w:val="133A2D8C"/>
    <w:rsid w:val="13D64DEC"/>
    <w:rsid w:val="15543DCE"/>
    <w:rsid w:val="15C57534"/>
    <w:rsid w:val="16A86180"/>
    <w:rsid w:val="16B234A2"/>
    <w:rsid w:val="16B72867"/>
    <w:rsid w:val="170B2BB3"/>
    <w:rsid w:val="17127A9D"/>
    <w:rsid w:val="17C70888"/>
    <w:rsid w:val="17D86F39"/>
    <w:rsid w:val="183C2926"/>
    <w:rsid w:val="1912647A"/>
    <w:rsid w:val="19792055"/>
    <w:rsid w:val="19812BA0"/>
    <w:rsid w:val="1A0C7E93"/>
    <w:rsid w:val="1B574618"/>
    <w:rsid w:val="1C18466F"/>
    <w:rsid w:val="1D565882"/>
    <w:rsid w:val="1E0C793C"/>
    <w:rsid w:val="1F2F1715"/>
    <w:rsid w:val="204F138A"/>
    <w:rsid w:val="21132D8F"/>
    <w:rsid w:val="21210BE4"/>
    <w:rsid w:val="21441995"/>
    <w:rsid w:val="21537630"/>
    <w:rsid w:val="23940C18"/>
    <w:rsid w:val="23AA1069"/>
    <w:rsid w:val="23DA5DE6"/>
    <w:rsid w:val="246A53BC"/>
    <w:rsid w:val="24B91EA0"/>
    <w:rsid w:val="254D1BE4"/>
    <w:rsid w:val="26C16D50"/>
    <w:rsid w:val="26C863CA"/>
    <w:rsid w:val="28B22E8E"/>
    <w:rsid w:val="2906380E"/>
    <w:rsid w:val="299B1B74"/>
    <w:rsid w:val="2B0032AF"/>
    <w:rsid w:val="2CF75313"/>
    <w:rsid w:val="2DAC07F4"/>
    <w:rsid w:val="2DAE64B5"/>
    <w:rsid w:val="2E6115DE"/>
    <w:rsid w:val="2FEA73B1"/>
    <w:rsid w:val="30F229C1"/>
    <w:rsid w:val="311A5A74"/>
    <w:rsid w:val="334E5EA9"/>
    <w:rsid w:val="339064C2"/>
    <w:rsid w:val="345710F9"/>
    <w:rsid w:val="37144DE7"/>
    <w:rsid w:val="373C4996"/>
    <w:rsid w:val="390515EE"/>
    <w:rsid w:val="3A9B7C26"/>
    <w:rsid w:val="3ACE7FFB"/>
    <w:rsid w:val="3B027CA5"/>
    <w:rsid w:val="3B497682"/>
    <w:rsid w:val="3C2459F9"/>
    <w:rsid w:val="3D791D75"/>
    <w:rsid w:val="3F051B12"/>
    <w:rsid w:val="40122635"/>
    <w:rsid w:val="405014B2"/>
    <w:rsid w:val="41AD023F"/>
    <w:rsid w:val="41DB1250"/>
    <w:rsid w:val="41F8595E"/>
    <w:rsid w:val="422E5823"/>
    <w:rsid w:val="43C318BF"/>
    <w:rsid w:val="43FD725B"/>
    <w:rsid w:val="44507CD3"/>
    <w:rsid w:val="44BD5C19"/>
    <w:rsid w:val="45120AE5"/>
    <w:rsid w:val="45966E3A"/>
    <w:rsid w:val="45A91659"/>
    <w:rsid w:val="45AD6A5F"/>
    <w:rsid w:val="45E5397D"/>
    <w:rsid w:val="47C36A0E"/>
    <w:rsid w:val="47DF396E"/>
    <w:rsid w:val="48B0455C"/>
    <w:rsid w:val="48F549A5"/>
    <w:rsid w:val="49105C83"/>
    <w:rsid w:val="4A3E412A"/>
    <w:rsid w:val="4AC16991"/>
    <w:rsid w:val="4ACA1E61"/>
    <w:rsid w:val="4AF04227"/>
    <w:rsid w:val="4BB7BB53"/>
    <w:rsid w:val="4BD05255"/>
    <w:rsid w:val="4C331E97"/>
    <w:rsid w:val="4C46376A"/>
    <w:rsid w:val="4C465518"/>
    <w:rsid w:val="4C505F95"/>
    <w:rsid w:val="4D4B1038"/>
    <w:rsid w:val="4E5B5C63"/>
    <w:rsid w:val="50175FC5"/>
    <w:rsid w:val="50795EBC"/>
    <w:rsid w:val="50964CC0"/>
    <w:rsid w:val="509E1DC6"/>
    <w:rsid w:val="5160707C"/>
    <w:rsid w:val="51676C37"/>
    <w:rsid w:val="51B178D7"/>
    <w:rsid w:val="51ED53F0"/>
    <w:rsid w:val="53C438F2"/>
    <w:rsid w:val="547C241E"/>
    <w:rsid w:val="54F2623D"/>
    <w:rsid w:val="5591373D"/>
    <w:rsid w:val="56116B96"/>
    <w:rsid w:val="56680EAC"/>
    <w:rsid w:val="57A53A3A"/>
    <w:rsid w:val="583B7EFB"/>
    <w:rsid w:val="585D2567"/>
    <w:rsid w:val="59B83EF9"/>
    <w:rsid w:val="5A025174"/>
    <w:rsid w:val="5ACB7C5C"/>
    <w:rsid w:val="5BEC62F7"/>
    <w:rsid w:val="5CAE15E3"/>
    <w:rsid w:val="5DF254FF"/>
    <w:rsid w:val="5DF5284C"/>
    <w:rsid w:val="5E2EA2A2"/>
    <w:rsid w:val="5E5F0DE7"/>
    <w:rsid w:val="5F04520B"/>
    <w:rsid w:val="5F7FD845"/>
    <w:rsid w:val="600A6B30"/>
    <w:rsid w:val="61AD1BC1"/>
    <w:rsid w:val="620F48D2"/>
    <w:rsid w:val="626F711E"/>
    <w:rsid w:val="62816E52"/>
    <w:rsid w:val="62A82630"/>
    <w:rsid w:val="630006BE"/>
    <w:rsid w:val="63DF02D4"/>
    <w:rsid w:val="64485E79"/>
    <w:rsid w:val="64CE2822"/>
    <w:rsid w:val="64D274A5"/>
    <w:rsid w:val="659D21F5"/>
    <w:rsid w:val="65C729A5"/>
    <w:rsid w:val="6764121C"/>
    <w:rsid w:val="679B2764"/>
    <w:rsid w:val="685F3791"/>
    <w:rsid w:val="68B65AA7"/>
    <w:rsid w:val="69E20B7D"/>
    <w:rsid w:val="6B7F70CD"/>
    <w:rsid w:val="6B8A5576"/>
    <w:rsid w:val="6BEE5558"/>
    <w:rsid w:val="6D437B25"/>
    <w:rsid w:val="6D8F2D6B"/>
    <w:rsid w:val="6DAA54AF"/>
    <w:rsid w:val="6F742218"/>
    <w:rsid w:val="70497201"/>
    <w:rsid w:val="70EC24B1"/>
    <w:rsid w:val="710027E3"/>
    <w:rsid w:val="714D0F73"/>
    <w:rsid w:val="72457E9C"/>
    <w:rsid w:val="72BB015E"/>
    <w:rsid w:val="7356678C"/>
    <w:rsid w:val="73764714"/>
    <w:rsid w:val="743B50B2"/>
    <w:rsid w:val="748344DC"/>
    <w:rsid w:val="749D7B1B"/>
    <w:rsid w:val="74B861AA"/>
    <w:rsid w:val="75134281"/>
    <w:rsid w:val="75B94177"/>
    <w:rsid w:val="76E64F59"/>
    <w:rsid w:val="78341EC3"/>
    <w:rsid w:val="786F17CF"/>
    <w:rsid w:val="79167E9C"/>
    <w:rsid w:val="7937698E"/>
    <w:rsid w:val="79A731EA"/>
    <w:rsid w:val="7A2C45AA"/>
    <w:rsid w:val="7A487219"/>
    <w:rsid w:val="7BF56294"/>
    <w:rsid w:val="7D3D00ED"/>
    <w:rsid w:val="7F4B3B43"/>
    <w:rsid w:val="7F7F76FE"/>
    <w:rsid w:val="7FFF6CF1"/>
    <w:rsid w:val="99BE9CA9"/>
    <w:rsid w:val="AEA75CBA"/>
    <w:rsid w:val="AFEAB047"/>
    <w:rsid w:val="CDFECCB1"/>
    <w:rsid w:val="DFFF0EF1"/>
    <w:rsid w:val="EBBF1763"/>
    <w:rsid w:val="EFBB00C2"/>
    <w:rsid w:val="F69F5A86"/>
    <w:rsid w:val="F6CF6AD5"/>
    <w:rsid w:val="F9FBCF3D"/>
    <w:rsid w:val="FEFCF73C"/>
    <w:rsid w:val="FFDFD662"/>
    <w:rsid w:val="FFF3468A"/>
    <w:rsid w:val="FFFEE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6">
    <w:name w:val="heading 4"/>
    <w:basedOn w:val="1"/>
    <w:next w:val="1"/>
    <w:link w:val="31"/>
    <w:semiHidden/>
    <w:unhideWhenUsed/>
    <w:qFormat/>
    <w:uiPriority w:val="0"/>
    <w:pPr>
      <w:keepNext/>
      <w:keepLines/>
      <w:spacing w:before="280" w:after="290" w:line="372" w:lineRule="auto"/>
      <w:outlineLvl w:val="3"/>
    </w:pPr>
    <w:rPr>
      <w:rFonts w:ascii="Arial" w:hAnsi="Arial" w:eastAsia="黑体"/>
      <w:b/>
      <w:sz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rPr>
  </w:style>
  <w:style w:type="paragraph" w:styleId="3">
    <w:name w:val="Body Text"/>
    <w:basedOn w:val="1"/>
    <w:next w:val="4"/>
    <w:qFormat/>
    <w:uiPriority w:val="0"/>
    <w:pPr>
      <w:spacing w:after="120"/>
    </w:pPr>
  </w:style>
  <w:style w:type="paragraph" w:styleId="4">
    <w:name w:val="List Bullet 5"/>
    <w:basedOn w:val="1"/>
    <w:qFormat/>
    <w:uiPriority w:val="0"/>
    <w:pPr>
      <w:numPr>
        <w:ilvl w:val="0"/>
        <w:numId w:val="1"/>
      </w:numPr>
    </w:pPr>
  </w:style>
  <w:style w:type="paragraph" w:styleId="7">
    <w:name w:val="caption"/>
    <w:basedOn w:val="1"/>
    <w:next w:val="1"/>
    <w:qFormat/>
    <w:uiPriority w:val="0"/>
    <w:pPr>
      <w:keepNext/>
      <w:spacing w:before="152" w:after="160"/>
      <w:ind w:firstLine="240" w:firstLineChars="100"/>
      <w:jc w:val="center"/>
    </w:pPr>
    <w:rPr>
      <w:rFonts w:ascii="Arial" w:hAnsi="Arial" w:eastAsia="黑体" w:cs="Arial"/>
      <w:sz w:val="24"/>
      <w:u w:val="double"/>
    </w:rPr>
  </w:style>
  <w:style w:type="paragraph" w:styleId="8">
    <w:name w:val="annotation text"/>
    <w:basedOn w:val="1"/>
    <w:semiHidden/>
    <w:qFormat/>
    <w:uiPriority w:val="0"/>
    <w:pPr>
      <w:jc w:val="left"/>
    </w:pPr>
  </w:style>
  <w:style w:type="paragraph" w:styleId="9">
    <w:name w:val="Body Text Indent"/>
    <w:basedOn w:val="1"/>
    <w:qFormat/>
    <w:uiPriority w:val="0"/>
    <w:pPr>
      <w:spacing w:after="120"/>
      <w:ind w:left="420" w:leftChars="2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next w:val="12"/>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UserStyle_8"/>
    <w:basedOn w:val="13"/>
    <w:qFormat/>
    <w:uiPriority w:val="0"/>
    <w:pPr>
      <w:spacing w:line="240" w:lineRule="auto"/>
      <w:ind w:right="-140" w:rightChars="-50" w:firstLine="1653" w:firstLineChars="588"/>
    </w:pPr>
    <w:rPr>
      <w:b/>
      <w:bCs/>
    </w:rPr>
  </w:style>
  <w:style w:type="paragraph" w:customStyle="1" w:styleId="13">
    <w:name w:val="UserStyle_9"/>
    <w:basedOn w:val="1"/>
    <w:next w:val="1"/>
    <w:qFormat/>
    <w:uiPriority w:val="0"/>
    <w:pPr>
      <w:spacing w:line="480" w:lineRule="atLeast"/>
      <w:textAlignment w:val="baseline"/>
    </w:pPr>
    <w:rPr>
      <w:rFonts w:ascii="宋体" w:hAnsi="Tms Rmn"/>
      <w:kern w:val="0"/>
      <w:sz w:val="28"/>
      <w:szCs w:val="20"/>
    </w:rPr>
  </w:style>
  <w:style w:type="paragraph" w:styleId="14">
    <w:name w:val="Normal (Web)"/>
    <w:basedOn w:val="1"/>
    <w:qFormat/>
    <w:uiPriority w:val="0"/>
    <w:pPr>
      <w:widowControl/>
      <w:spacing w:before="100" w:beforeAutospacing="1" w:after="100" w:afterAutospacing="1"/>
      <w:jc w:val="left"/>
    </w:pPr>
    <w:rPr>
      <w:rFonts w:ascii="宋体" w:hAnsi="宋体" w:cs="宋体"/>
      <w:kern w:val="0"/>
      <w:szCs w:val="21"/>
    </w:rPr>
  </w:style>
  <w:style w:type="paragraph" w:styleId="15">
    <w:name w:val="Body Text First Indent 2"/>
    <w:basedOn w:val="9"/>
    <w:qFormat/>
    <w:uiPriority w:val="0"/>
    <w:pPr>
      <w:ind w:firstLine="420"/>
    </w:pPr>
  </w:style>
  <w:style w:type="character" w:styleId="18">
    <w:name w:val="page number"/>
    <w:basedOn w:val="17"/>
    <w:qFormat/>
    <w:uiPriority w:val="0"/>
  </w:style>
  <w:style w:type="character" w:styleId="19">
    <w:name w:val="Hyperlink"/>
    <w:qFormat/>
    <w:uiPriority w:val="0"/>
    <w:rPr>
      <w:color w:val="0000FF"/>
      <w:u w:val="single"/>
    </w:rPr>
  </w:style>
  <w:style w:type="character" w:styleId="20">
    <w:name w:val="annotation reference"/>
    <w:qFormat/>
    <w:uiPriority w:val="0"/>
    <w:rPr>
      <w:sz w:val="21"/>
    </w:rPr>
  </w:style>
  <w:style w:type="paragraph" w:customStyle="1" w:styleId="21">
    <w:name w:val="Date1"/>
    <w:basedOn w:val="1"/>
    <w:next w:val="1"/>
    <w:qFormat/>
    <w:uiPriority w:val="0"/>
    <w:rPr>
      <w:szCs w:val="20"/>
    </w:rPr>
  </w:style>
  <w:style w:type="paragraph" w:customStyle="1" w:styleId="22">
    <w:name w:val="正文首行缩进 21"/>
    <w:basedOn w:val="23"/>
    <w:next w:val="1"/>
    <w:qFormat/>
    <w:uiPriority w:val="0"/>
    <w:pPr>
      <w:widowControl/>
      <w:ind w:firstLine="420" w:firstLineChars="200"/>
      <w:jc w:val="left"/>
    </w:pPr>
  </w:style>
  <w:style w:type="paragraph" w:customStyle="1" w:styleId="23">
    <w:name w:val="正文文本缩进1"/>
    <w:basedOn w:val="1"/>
    <w:next w:val="7"/>
    <w:qFormat/>
    <w:uiPriority w:val="0"/>
    <w:pPr>
      <w:spacing w:after="120"/>
      <w:ind w:left="420" w:leftChars="200"/>
    </w:pPr>
    <w:rPr>
      <w:rFonts w:hint="eastAsia"/>
    </w:rPr>
  </w:style>
  <w:style w:type="paragraph" w:customStyle="1" w:styleId="24">
    <w:name w:val="报告书正文样式1"/>
    <w:basedOn w:val="25"/>
    <w:qFormat/>
    <w:uiPriority w:val="0"/>
    <w:pPr>
      <w:spacing w:line="360" w:lineRule="auto"/>
    </w:pPr>
    <w:rPr>
      <w:rFonts w:ascii="Arial" w:hAnsi="Arial" w:cs="Arial"/>
      <w:szCs w:val="24"/>
    </w:rPr>
  </w:style>
  <w:style w:type="paragraph" w:customStyle="1" w:styleId="25">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character" w:customStyle="1" w:styleId="26">
    <w:name w:val="NormalCharacter"/>
    <w:qFormat/>
    <w:uiPriority w:val="0"/>
    <w:rPr>
      <w:kern w:val="2"/>
      <w:sz w:val="32"/>
      <w:szCs w:val="32"/>
      <w:lang w:val="en-US" w:eastAsia="zh-CN" w:bidi="ar-SA"/>
    </w:rPr>
  </w:style>
  <w:style w:type="paragraph" w:customStyle="1" w:styleId="27">
    <w:name w:val="表内本"/>
    <w:basedOn w:val="1"/>
    <w:qFormat/>
    <w:uiPriority w:val="0"/>
    <w:pPr>
      <w:widowControl/>
      <w:adjustRightInd w:val="0"/>
      <w:spacing w:line="240" w:lineRule="atLeast"/>
      <w:jc w:val="center"/>
      <w:textAlignment w:val="baseline"/>
    </w:pPr>
    <w:rPr>
      <w:color w:val="000000"/>
      <w:kern w:val="0"/>
      <w:szCs w:val="21"/>
    </w:rPr>
  </w:style>
  <w:style w:type="paragraph" w:customStyle="1" w:styleId="28">
    <w:name w:val="li_正文"/>
    <w:basedOn w:val="1"/>
    <w:qFormat/>
    <w:uiPriority w:val="0"/>
    <w:pPr>
      <w:adjustRightInd w:val="0"/>
      <w:snapToGrid w:val="0"/>
      <w:spacing w:line="360" w:lineRule="auto"/>
      <w:ind w:firstLine="200" w:firstLineChars="200"/>
      <w:jc w:val="left"/>
    </w:pPr>
    <w:rPr>
      <w:rFonts w:ascii="宋体"/>
      <w:sz w:val="24"/>
      <w:szCs w:val="28"/>
    </w:rPr>
  </w:style>
  <w:style w:type="paragraph" w:customStyle="1" w:styleId="29">
    <w:name w:val="Char"/>
    <w:basedOn w:val="1"/>
    <w:qFormat/>
    <w:uiPriority w:val="0"/>
    <w:rPr>
      <w:rFonts w:ascii="Tahoma" w:hAnsi="Tahoma"/>
      <w:sz w:val="24"/>
    </w:rPr>
  </w:style>
  <w:style w:type="character" w:customStyle="1" w:styleId="30">
    <w:name w:val="fontstyle01"/>
    <w:qFormat/>
    <w:uiPriority w:val="0"/>
    <w:rPr>
      <w:rFonts w:ascii="华文中宋" w:hAnsi="华文中宋" w:eastAsia="华文中宋" w:cs="华文中宋"/>
      <w:color w:val="000000"/>
      <w:sz w:val="32"/>
      <w:szCs w:val="32"/>
    </w:rPr>
  </w:style>
  <w:style w:type="character" w:customStyle="1" w:styleId="31">
    <w:name w:val="标题 4 字符"/>
    <w:link w:val="6"/>
    <w:qFormat/>
    <w:uiPriority w:val="0"/>
    <w:rPr>
      <w:rFonts w:ascii="Arial" w:hAnsi="Arial" w:eastAsia="黑体"/>
      <w:b/>
      <w:sz w:val="28"/>
    </w:rPr>
  </w:style>
  <w:style w:type="character" w:customStyle="1" w:styleId="32">
    <w:name w:val="正文何昌泽 Char Char"/>
    <w:link w:val="33"/>
    <w:qFormat/>
    <w:uiPriority w:val="0"/>
    <w:rPr>
      <w:rFonts w:ascii="Calibri" w:hAnsi="Calibri"/>
      <w:sz w:val="24"/>
    </w:rPr>
  </w:style>
  <w:style w:type="paragraph" w:customStyle="1" w:styleId="33">
    <w:name w:val="正文何昌泽"/>
    <w:basedOn w:val="1"/>
    <w:link w:val="32"/>
    <w:qFormat/>
    <w:uiPriority w:val="0"/>
    <w:pPr>
      <w:adjustRightInd w:val="0"/>
      <w:snapToGrid w:val="0"/>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2385</Words>
  <Characters>2527</Characters>
  <Lines>17</Lines>
  <Paragraphs>4</Paragraphs>
  <TotalTime>1</TotalTime>
  <ScaleCrop>false</ScaleCrop>
  <LinksUpToDate>false</LinksUpToDate>
  <CharactersWithSpaces>2542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2023-02-27T17:52:00Z</dcterms:created>
  <dc:creator>梁靚小靚</dc:creator>
  <cp:lastModifiedBy>张子墨</cp:lastModifiedBy>
  <cp:lastPrinted>2024-11-08T22:41:00Z</cp:lastPrinted>
  <dcterms:modified xsi:type="dcterms:W3CDTF">2025-09-01T00:55:55Z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278203CF53FD4BE3BFAA50FBAB50D0C7_13</vt:lpwstr>
  </property>
  <property fmtid="{D5CDD505-2E9C-101B-9397-08002B2CF9AE}" pid="4" name="KSOTemplateDocerSaveRecord">
    <vt:lpwstr>eyJoZGlkIjoiMGQ4OTNlZDFmOTVkOTFlYzcwNTQxNTQxNzczNjQ4MmIiLCJ1c2VySWQiOiIyMDIxNjc3OTAifQ==</vt:lpwstr>
  </property>
</Properties>
</file>