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13014">
      <w:pPr>
        <w:pStyle w:val="12"/>
        <w:keepNext w:val="0"/>
        <w:keepLines w:val="0"/>
        <w:pageBreakBefore w:val="0"/>
        <w:kinsoku/>
        <w:wordWrap/>
        <w:overflowPunct/>
        <w:topLinePunct w:val="0"/>
        <w:autoSpaceDE/>
        <w:autoSpaceDN/>
        <w:bidi w:val="0"/>
        <w:spacing w:before="0" w:beforeAutospacing="0" w:after="0" w:afterAutospacing="0" w:line="600" w:lineRule="exact"/>
        <w:ind w:left="0" w:leftChars="0"/>
        <w:jc w:val="center"/>
        <w:rPr>
          <w:rFonts w:hint="eastAsia" w:ascii="Times New Roman" w:hAnsi="Times New Roman" w:eastAsia="仿宋" w:cs="Times New Roman"/>
          <w:b/>
          <w:bCs/>
          <w:color w:val="000000"/>
          <w:sz w:val="32"/>
          <w:szCs w:val="32"/>
          <w:lang w:val="en-US" w:eastAsia="zh-CN"/>
        </w:rPr>
      </w:pPr>
      <w:r>
        <w:rPr>
          <w:rFonts w:hint="eastAsia" w:ascii="Times New Roman" w:hAnsi="Times New Roman" w:eastAsia="仿宋" w:cs="Times New Roman"/>
          <w:b/>
          <w:bCs/>
          <w:color w:val="000000"/>
          <w:sz w:val="32"/>
          <w:szCs w:val="32"/>
          <w:lang w:val="en-US" w:eastAsia="zh-CN"/>
        </w:rPr>
        <w:t xml:space="preserve"> </w:t>
      </w:r>
    </w:p>
    <w:p w14:paraId="5179FA8D">
      <w:pPr>
        <w:pStyle w:val="12"/>
        <w:keepNext w:val="0"/>
        <w:keepLines w:val="0"/>
        <w:pageBreakBefore w:val="0"/>
        <w:kinsoku/>
        <w:wordWrap/>
        <w:overflowPunct/>
        <w:topLinePunct w:val="0"/>
        <w:autoSpaceDE/>
        <w:autoSpaceDN/>
        <w:bidi w:val="0"/>
        <w:spacing w:before="0" w:beforeAutospacing="0" w:after="0" w:afterAutospacing="0" w:line="600" w:lineRule="exact"/>
        <w:ind w:left="0" w:leftChars="0"/>
        <w:jc w:val="center"/>
        <w:rPr>
          <w:rFonts w:ascii="Times New Roman" w:hAnsi="Times New Roman" w:eastAsia="仿宋" w:cs="Times New Roman"/>
          <w:b/>
          <w:bCs/>
          <w:color w:val="000000"/>
          <w:sz w:val="32"/>
          <w:szCs w:val="32"/>
        </w:rPr>
      </w:pPr>
    </w:p>
    <w:p w14:paraId="1621FFA7">
      <w:pPr>
        <w:pStyle w:val="12"/>
        <w:keepNext w:val="0"/>
        <w:keepLines w:val="0"/>
        <w:pageBreakBefore w:val="0"/>
        <w:kinsoku/>
        <w:wordWrap/>
        <w:overflowPunct/>
        <w:topLinePunct w:val="0"/>
        <w:autoSpaceDE/>
        <w:autoSpaceDN/>
        <w:bidi w:val="0"/>
        <w:spacing w:before="0" w:beforeAutospacing="0" w:after="0" w:afterAutospacing="0" w:line="600" w:lineRule="exact"/>
        <w:ind w:left="0" w:leftChars="0"/>
        <w:jc w:val="center"/>
        <w:rPr>
          <w:rFonts w:ascii="Times New Roman" w:hAnsi="Times New Roman" w:eastAsia="仿宋" w:cs="Times New Roman"/>
          <w:b/>
          <w:bCs/>
          <w:color w:val="000000"/>
          <w:sz w:val="32"/>
          <w:szCs w:val="32"/>
        </w:rPr>
      </w:pPr>
    </w:p>
    <w:p w14:paraId="4E6846E0">
      <w:pPr>
        <w:pStyle w:val="12"/>
        <w:keepNext w:val="0"/>
        <w:keepLines w:val="0"/>
        <w:pageBreakBefore w:val="0"/>
        <w:kinsoku/>
        <w:wordWrap/>
        <w:overflowPunct/>
        <w:topLinePunct w:val="0"/>
        <w:autoSpaceDE/>
        <w:autoSpaceDN/>
        <w:bidi w:val="0"/>
        <w:spacing w:before="0" w:beforeAutospacing="0" w:after="0" w:afterAutospacing="0" w:line="600" w:lineRule="exact"/>
        <w:ind w:left="0" w:leftChars="0"/>
        <w:jc w:val="center"/>
        <w:rPr>
          <w:rFonts w:ascii="Times New Roman" w:hAnsi="Times New Roman" w:eastAsia="仿宋" w:cs="Times New Roman"/>
          <w:b/>
          <w:bCs/>
          <w:color w:val="000000"/>
          <w:sz w:val="32"/>
          <w:szCs w:val="32"/>
        </w:rPr>
      </w:pPr>
    </w:p>
    <w:p w14:paraId="2D3FD69E">
      <w:pPr>
        <w:pStyle w:val="12"/>
        <w:keepNext w:val="0"/>
        <w:keepLines w:val="0"/>
        <w:pageBreakBefore w:val="0"/>
        <w:kinsoku/>
        <w:wordWrap/>
        <w:overflowPunct/>
        <w:topLinePunct w:val="0"/>
        <w:autoSpaceDE/>
        <w:autoSpaceDN/>
        <w:bidi w:val="0"/>
        <w:spacing w:before="0" w:beforeAutospacing="0" w:after="0" w:afterAutospacing="0" w:line="600" w:lineRule="exact"/>
        <w:ind w:left="0" w:leftChars="0"/>
        <w:jc w:val="center"/>
        <w:rPr>
          <w:rFonts w:ascii="Times New Roman" w:hAnsi="Times New Roman" w:eastAsia="仿宋" w:cs="Times New Roman"/>
          <w:b/>
          <w:bCs/>
          <w:color w:val="000000"/>
          <w:sz w:val="32"/>
          <w:szCs w:val="32"/>
        </w:rPr>
      </w:pPr>
    </w:p>
    <w:p w14:paraId="063EC63F">
      <w:pPr>
        <w:pStyle w:val="12"/>
        <w:keepNext w:val="0"/>
        <w:keepLines w:val="0"/>
        <w:pageBreakBefore w:val="0"/>
        <w:kinsoku/>
        <w:wordWrap/>
        <w:overflowPunct/>
        <w:topLinePunct w:val="0"/>
        <w:autoSpaceDE/>
        <w:autoSpaceDN/>
        <w:bidi w:val="0"/>
        <w:spacing w:before="0" w:beforeAutospacing="0" w:after="0" w:afterAutospacing="0" w:line="600" w:lineRule="exact"/>
        <w:ind w:left="0" w:leftChars="0"/>
        <w:jc w:val="both"/>
        <w:rPr>
          <w:rFonts w:ascii="Times New Roman" w:hAnsi="Times New Roman" w:eastAsia="仿宋" w:cs="Times New Roman"/>
          <w:b/>
          <w:bCs/>
          <w:color w:val="000000"/>
          <w:sz w:val="32"/>
          <w:szCs w:val="32"/>
        </w:rPr>
      </w:pPr>
    </w:p>
    <w:p w14:paraId="36DCB19D">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eastAsia"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lang w:eastAsia="zh-CN"/>
        </w:rPr>
        <w:t>枣</w:t>
      </w:r>
      <w:r>
        <w:rPr>
          <w:rFonts w:hint="default" w:ascii="Times New Roman" w:hAnsi="Times New Roman" w:eastAsia="仿宋_GB2312" w:cs="Times New Roman"/>
          <w:b w:val="0"/>
          <w:bCs w:val="0"/>
          <w:color w:val="000000"/>
          <w:sz w:val="32"/>
          <w:szCs w:val="32"/>
        </w:rPr>
        <w:t>环</w:t>
      </w:r>
      <w:r>
        <w:rPr>
          <w:rFonts w:hint="default" w:ascii="Times New Roman" w:hAnsi="Times New Roman" w:eastAsia="仿宋_GB2312" w:cs="Times New Roman"/>
          <w:b w:val="0"/>
          <w:bCs w:val="0"/>
          <w:color w:val="000000"/>
          <w:sz w:val="32"/>
          <w:szCs w:val="32"/>
          <w:lang w:eastAsia="zh-CN"/>
        </w:rPr>
        <w:t>薛</w:t>
      </w:r>
      <w:r>
        <w:rPr>
          <w:rFonts w:hint="default" w:ascii="Times New Roman" w:hAnsi="Times New Roman" w:eastAsia="仿宋_GB2312" w:cs="Times New Roman"/>
          <w:b w:val="0"/>
          <w:bCs w:val="0"/>
          <w:color w:val="000000"/>
          <w:sz w:val="32"/>
          <w:szCs w:val="32"/>
        </w:rPr>
        <w:t>审字</w:t>
      </w:r>
      <w:r>
        <w:rPr>
          <w:rFonts w:hint="default" w:ascii="Times New Roman" w:hAnsi="Times New Roman" w:eastAsia="仿宋_GB2312" w:cs="Times New Roman"/>
          <w:b w:val="0"/>
          <w:bCs w:val="0"/>
          <w:color w:val="000000"/>
          <w:sz w:val="32"/>
          <w:szCs w:val="32"/>
          <w:highlight w:val="none"/>
        </w:rPr>
        <w:t>〔20</w:t>
      </w:r>
      <w:r>
        <w:rPr>
          <w:rFonts w:hint="default" w:ascii="Times New Roman" w:hAnsi="Times New Roman" w:eastAsia="仿宋_GB2312" w:cs="Times New Roman"/>
          <w:b w:val="0"/>
          <w:bCs w:val="0"/>
          <w:color w:val="000000"/>
          <w:sz w:val="32"/>
          <w:szCs w:val="32"/>
          <w:highlight w:val="none"/>
          <w:lang w:val="en-US" w:eastAsia="zh-CN"/>
        </w:rPr>
        <w:t>2</w:t>
      </w:r>
      <w:r>
        <w:rPr>
          <w:rFonts w:hint="eastAsia" w:ascii="Times New Roman" w:hAnsi="Times New Roman" w:eastAsia="仿宋_GB2312" w:cs="Times New Roman"/>
          <w:b w:val="0"/>
          <w:bCs w:val="0"/>
          <w:color w:val="000000"/>
          <w:sz w:val="32"/>
          <w:szCs w:val="32"/>
          <w:highlight w:val="none"/>
          <w:lang w:val="en-US" w:eastAsia="zh-CN"/>
        </w:rPr>
        <w:t>5</w:t>
      </w:r>
      <w:r>
        <w:rPr>
          <w:rFonts w:hint="default" w:ascii="Times New Roman" w:hAnsi="Times New Roman" w:eastAsia="仿宋_GB2312" w:cs="Times New Roman"/>
          <w:b w:val="0"/>
          <w:bCs w:val="0"/>
          <w:color w:val="000000"/>
          <w:sz w:val="32"/>
          <w:szCs w:val="32"/>
          <w:highlight w:val="none"/>
        </w:rPr>
        <w:t>〕B</w:t>
      </w:r>
      <w:r>
        <w:rPr>
          <w:rFonts w:hint="eastAsia" w:ascii="Times New Roman" w:hAnsi="Times New Roman" w:eastAsia="仿宋_GB2312" w:cs="Times New Roman"/>
          <w:b w:val="0"/>
          <w:bCs w:val="0"/>
          <w:color w:val="000000"/>
          <w:sz w:val="32"/>
          <w:szCs w:val="32"/>
          <w:highlight w:val="none"/>
          <w:lang w:val="en-US" w:eastAsia="zh-CN"/>
        </w:rPr>
        <w:t>-33</w:t>
      </w:r>
    </w:p>
    <w:p w14:paraId="0F57320D">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color w:val="000000"/>
          <w:sz w:val="32"/>
          <w:szCs w:val="32"/>
          <w:highlight w:val="none"/>
          <w:lang w:val="en-US" w:eastAsia="zh-CN"/>
        </w:rPr>
      </w:pPr>
      <w:r>
        <w:rPr>
          <w:rFonts w:hint="eastAsia" w:ascii="Times New Roman" w:hAnsi="Times New Roman" w:eastAsia="仿宋_GB2312" w:cs="Times New Roman"/>
          <w:b w:val="0"/>
          <w:bCs w:val="0"/>
          <w:color w:val="000000"/>
          <w:sz w:val="32"/>
          <w:szCs w:val="32"/>
          <w:highlight w:val="none"/>
          <w:lang w:val="en-US" w:eastAsia="zh-CN"/>
        </w:rPr>
        <w:t xml:space="preserve">                                                                                                                                                                                                                                                                                                                                                                               </w:t>
      </w:r>
    </w:p>
    <w:p w14:paraId="7B535E5A">
      <w:pPr>
        <w:keepNext w:val="0"/>
        <w:keepLines w:val="0"/>
        <w:pageBreakBefore w:val="0"/>
        <w:widowControl/>
        <w:kinsoku/>
        <w:wordWrap/>
        <w:overflowPunct/>
        <w:topLinePunct w:val="0"/>
        <w:autoSpaceDE/>
        <w:autoSpaceDN/>
        <w:bidi w:val="0"/>
        <w:spacing w:line="600" w:lineRule="exact"/>
        <w:ind w:left="0" w:leftChars="0"/>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rPr>
        <w:t>关于枣庄联创实业有限责任公司</w:t>
      </w:r>
      <w:r>
        <w:rPr>
          <w:rFonts w:hint="eastAsia" w:ascii="Times New Roman" w:hAnsi="Times New Roman" w:eastAsia="方正小标宋简体"/>
          <w:sz w:val="44"/>
          <w:szCs w:val="44"/>
          <w:lang w:val="en-US" w:eastAsia="zh-CN"/>
        </w:rPr>
        <w:t>洗煤厂</w:t>
      </w:r>
      <w:r>
        <w:rPr>
          <w:rFonts w:hint="eastAsia" w:ascii="Times New Roman" w:hAnsi="Times New Roman" w:eastAsia="方正小标宋简体"/>
          <w:sz w:val="44"/>
          <w:szCs w:val="44"/>
        </w:rPr>
        <w:t>项目</w:t>
      </w:r>
    </w:p>
    <w:p w14:paraId="03E02D3F">
      <w:pPr>
        <w:keepNext w:val="0"/>
        <w:keepLines w:val="0"/>
        <w:pageBreakBefore w:val="0"/>
        <w:widowControl/>
        <w:kinsoku/>
        <w:wordWrap/>
        <w:overflowPunct/>
        <w:topLinePunct w:val="0"/>
        <w:autoSpaceDE/>
        <w:autoSpaceDN/>
        <w:bidi w:val="0"/>
        <w:spacing w:line="600" w:lineRule="exact"/>
        <w:ind w:left="0" w:leftChars="0"/>
        <w:jc w:val="center"/>
        <w:rPr>
          <w:rFonts w:ascii="Times New Roman" w:hAnsi="Times New Roman" w:eastAsia="仿宋_GB2312" w:cs="Times New Roman"/>
          <w:sz w:val="32"/>
          <w:szCs w:val="32"/>
        </w:rPr>
      </w:pPr>
      <w:r>
        <w:rPr>
          <w:rFonts w:hint="eastAsia" w:ascii="Times New Roman" w:hAnsi="Times New Roman" w:eastAsia="方正小标宋简体"/>
          <w:sz w:val="44"/>
          <w:szCs w:val="44"/>
        </w:rPr>
        <w:t>环境影响报告表的批复</w:t>
      </w:r>
    </w:p>
    <w:p w14:paraId="75784F0E">
      <w:pPr>
        <w:pStyle w:val="16"/>
        <w:keepNext w:val="0"/>
        <w:keepLines w:val="0"/>
        <w:pageBreakBefore w:val="0"/>
        <w:tabs>
          <w:tab w:val="left" w:pos="3030"/>
        </w:tabs>
        <w:kinsoku/>
        <w:wordWrap/>
        <w:overflowPunct/>
        <w:topLinePunct w:val="0"/>
        <w:autoSpaceDE/>
        <w:autoSpaceDN/>
        <w:bidi w:val="0"/>
        <w:spacing w:line="600" w:lineRule="exact"/>
        <w:ind w:left="0" w:leftChars="0" w:firstLine="640" w:firstLineChars="200"/>
        <w:rPr>
          <w:rFonts w:hint="default" w:ascii="Times New Roman" w:hAnsi="Times New Roman" w:eastAsia="仿宋_GB2312" w:cs="Times New Roman"/>
          <w:sz w:val="32"/>
          <w:szCs w:val="32"/>
          <w:lang w:val="en-US" w:eastAsia="zh-CN"/>
        </w:rPr>
      </w:pPr>
    </w:p>
    <w:p w14:paraId="0E77C6D8">
      <w:pPr>
        <w:pStyle w:val="16"/>
        <w:keepNext w:val="0"/>
        <w:keepLines w:val="0"/>
        <w:pageBreakBefore w:val="0"/>
        <w:tabs>
          <w:tab w:val="left" w:pos="3030"/>
        </w:tabs>
        <w:kinsoku/>
        <w:wordWrap/>
        <w:overflowPunct/>
        <w:topLinePunct w:val="0"/>
        <w:autoSpaceDE/>
        <w:autoSpaceDN/>
        <w:bidi w:val="0"/>
        <w:spacing w:line="600" w:lineRule="exact"/>
        <w:ind w:left="0" w:leftChars="0" w:firstLine="0" w:firstLineChars="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枣庄联创实业有限责任公司：</w:t>
      </w:r>
    </w:p>
    <w:p w14:paraId="57A7D7F2">
      <w:pPr>
        <w:pStyle w:val="16"/>
        <w:keepNext w:val="0"/>
        <w:keepLines w:val="0"/>
        <w:pageBreakBefore w:val="0"/>
        <w:tabs>
          <w:tab w:val="left" w:pos="3030"/>
        </w:tabs>
        <w:kinsoku/>
        <w:wordWrap/>
        <w:overflowPunct/>
        <w:topLinePunct w:val="0"/>
        <w:autoSpaceDE/>
        <w:autoSpaceDN/>
        <w:bidi w:val="0"/>
        <w:spacing w:line="600" w:lineRule="exact"/>
        <w:ind w:left="0" w:leftChars="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你公司报送的《枣庄联创实业有限责任公司洗煤厂项目环境影响报告表》收悉。经研究，批复如下：</w:t>
      </w:r>
    </w:p>
    <w:p w14:paraId="699099A2">
      <w:pPr>
        <w:pStyle w:val="16"/>
        <w:keepNext w:val="0"/>
        <w:keepLines w:val="0"/>
        <w:pageBreakBefore w:val="0"/>
        <w:numPr>
          <w:ilvl w:val="0"/>
          <w:numId w:val="2"/>
        </w:numPr>
        <w:tabs>
          <w:tab w:val="left" w:pos="3030"/>
        </w:tabs>
        <w:kinsoku/>
        <w:wordWrap/>
        <w:overflowPunct/>
        <w:topLinePunct w:val="0"/>
        <w:autoSpaceDE/>
        <w:autoSpaceDN/>
        <w:bidi w:val="0"/>
        <w:spacing w:line="600" w:lineRule="exact"/>
        <w:ind w:left="0" w:leftChars="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项目为新建，位于山东省枣庄市薛城区陶庄镇刘胡庄村南，占地面积24720平方米，该项目总投资</w:t>
      </w:r>
      <w:r>
        <w:rPr>
          <w:rFonts w:hint="eastAsia" w:ascii="Times New Roman" w:hAnsi="Times New Roman" w:eastAsia="仿宋_GB2312" w:cs="Times New Roman"/>
          <w:sz w:val="32"/>
          <w:szCs w:val="32"/>
          <w:lang w:val="en-US" w:eastAsia="zh-CN"/>
        </w:rPr>
        <w:t>1883.33</w:t>
      </w:r>
      <w:r>
        <w:rPr>
          <w:rFonts w:hint="default" w:ascii="Times New Roman" w:hAnsi="Times New Roman" w:eastAsia="仿宋_GB2312" w:cs="Times New Roman"/>
          <w:sz w:val="32"/>
          <w:szCs w:val="32"/>
          <w:lang w:val="en-US" w:eastAsia="zh-CN"/>
        </w:rPr>
        <w:t>万元，其中环保投资</w:t>
      </w:r>
      <w:r>
        <w:rPr>
          <w:rFonts w:hint="eastAsia" w:ascii="Times New Roman" w:hAnsi="Times New Roman" w:eastAsia="仿宋_GB2312" w:cs="Times New Roman"/>
          <w:sz w:val="32"/>
          <w:szCs w:val="32"/>
          <w:lang w:val="en-US" w:eastAsia="zh-CN"/>
        </w:rPr>
        <w:t>43</w:t>
      </w:r>
      <w:r>
        <w:rPr>
          <w:rFonts w:hint="default" w:ascii="Times New Roman" w:hAnsi="Times New Roman" w:eastAsia="仿宋_GB2312" w:cs="Times New Roman"/>
          <w:sz w:val="32"/>
          <w:szCs w:val="32"/>
          <w:lang w:val="en-US" w:eastAsia="zh-CN"/>
        </w:rPr>
        <w:t>万元。主要购置跳汰机、浮选机、精煤脱水分级筛、离心机、罗茨鼓风机等主要生产设备41台（套），项目建成后，可达到年产精煤51万吨、中煤3万吨、煤泥2.4万吨、矸石3.6万吨的生产规模</w:t>
      </w:r>
      <w:r>
        <w:rPr>
          <w:rFonts w:hint="eastAsia" w:ascii="Times New Roman" w:hAnsi="Times New Roman" w:eastAsia="仿宋_GB2312" w:cs="Times New Roman"/>
          <w:sz w:val="32"/>
          <w:szCs w:val="32"/>
          <w:lang w:val="en-US" w:eastAsia="zh-CN"/>
        </w:rPr>
        <w:t>。</w:t>
      </w:r>
    </w:p>
    <w:p w14:paraId="19F13CCF">
      <w:pPr>
        <w:pStyle w:val="16"/>
        <w:keepNext w:val="0"/>
        <w:keepLines w:val="0"/>
        <w:pageBreakBefore w:val="0"/>
        <w:tabs>
          <w:tab w:val="left" w:pos="3030"/>
        </w:tabs>
        <w:kinsoku/>
        <w:wordWrap/>
        <w:overflowPunct/>
        <w:topLinePunct w:val="0"/>
        <w:autoSpaceDE/>
        <w:autoSpaceDN/>
        <w:bidi w:val="0"/>
        <w:spacing w:line="600" w:lineRule="exact"/>
        <w:ind w:left="0" w:leftChars="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在符合产业政策与园区总体规划、选址符合国土空间规划等前提下，根据环评报告结论，在全面落实环境影响报告表提出的各项生态保护和污染防治措施后，工程对环境的不利影响能够得到减缓和控制。从环境保护角度分析，我局原则同意你公司按照报告表所列地点、工艺、规模和环境保护对策措施开展项目建设。</w:t>
      </w:r>
    </w:p>
    <w:p w14:paraId="16643A67">
      <w:pPr>
        <w:pStyle w:val="16"/>
        <w:keepNext w:val="0"/>
        <w:keepLines w:val="0"/>
        <w:pageBreakBefore w:val="0"/>
        <w:tabs>
          <w:tab w:val="left" w:pos="3030"/>
        </w:tabs>
        <w:kinsoku/>
        <w:wordWrap/>
        <w:overflowPunct/>
        <w:topLinePunct w:val="0"/>
        <w:autoSpaceDE/>
        <w:autoSpaceDN/>
        <w:bidi w:val="0"/>
        <w:spacing w:line="600" w:lineRule="exact"/>
        <w:ind w:left="0" w:leftChars="0" w:firstLine="640" w:firstLineChars="200"/>
        <w:jc w:val="both"/>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二、项目在运营中须严格落实环境影响报告表提出的污染防治措施和以下要求：</w:t>
      </w:r>
    </w:p>
    <w:p w14:paraId="6AD40C7C">
      <w:pPr>
        <w:pStyle w:val="16"/>
        <w:keepNext w:val="0"/>
        <w:keepLines w:val="0"/>
        <w:pageBreakBefore w:val="0"/>
        <w:tabs>
          <w:tab w:val="left" w:pos="3030"/>
        </w:tabs>
        <w:kinsoku/>
        <w:wordWrap/>
        <w:overflowPunct/>
        <w:topLinePunct w:val="0"/>
        <w:autoSpaceDE/>
        <w:autoSpaceDN/>
        <w:bidi w:val="0"/>
        <w:spacing w:line="600" w:lineRule="exact"/>
        <w:ind w:left="0" w:leftChars="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val="en-US" w:eastAsia="zh-CN"/>
        </w:rPr>
        <w:t>（一）严格落实大气污染防治措施。项目废气主要为原煤卸料和堆放废气、上料废气、产品堆放和装卸废气、车辆运输扬尘及投料废气。通过</w:t>
      </w:r>
      <w:r>
        <w:rPr>
          <w:rFonts w:hint="eastAsia" w:ascii="Times New Roman" w:hAnsi="Times New Roman" w:eastAsia="仿宋_GB2312" w:cs="Times New Roman"/>
          <w:sz w:val="32"/>
          <w:szCs w:val="32"/>
          <w:highlight w:val="none"/>
          <w:lang w:val="en-US" w:eastAsia="zh-CN"/>
        </w:rPr>
        <w:t>原料棚、精煤棚、非精煤棚进行全封闭，仅保留进出口，场地地面硬化，原料、产品装卸和堆放和原煤上料过程中均采取喷淋抑尘措施；车辆运输扬尘主要采取篷布遮盖密闭运输、及时清扫和洒水降尘、车辆清洗措施</w:t>
      </w:r>
      <w:r>
        <w:rPr>
          <w:rFonts w:hint="eastAsia" w:ascii="Times New Roman" w:hAnsi="Times New Roman" w:eastAsia="仿宋_GB2312" w:cs="Times New Roman"/>
          <w:sz w:val="32"/>
          <w:szCs w:val="32"/>
          <w:lang w:val="en-US" w:eastAsia="zh-CN"/>
        </w:rPr>
        <w:t>抑制粉尘产生</w:t>
      </w:r>
      <w:r>
        <w:rPr>
          <w:rFonts w:hint="default" w:ascii="Times New Roman" w:hAnsi="Times New Roman" w:eastAsia="仿宋_GB2312" w:cs="Times New Roman"/>
          <w:sz w:val="32"/>
          <w:szCs w:val="32"/>
          <w:lang w:val="en-US" w:eastAsia="zh-CN"/>
        </w:rPr>
        <w:t>。厂界无组织粉尘必须满足《煤炭工业污染物排放标准》（GB20426-2006）表5排放限值要求。</w:t>
      </w:r>
    </w:p>
    <w:p w14:paraId="39345FA7">
      <w:pPr>
        <w:pStyle w:val="16"/>
        <w:keepNext w:val="0"/>
        <w:keepLines w:val="0"/>
        <w:pageBreakBefore w:val="0"/>
        <w:tabs>
          <w:tab w:val="left" w:pos="3030"/>
        </w:tabs>
        <w:kinsoku/>
        <w:wordWrap/>
        <w:overflowPunct/>
        <w:topLinePunct w:val="0"/>
        <w:autoSpaceDE/>
        <w:autoSpaceDN/>
        <w:bidi w:val="0"/>
        <w:spacing w:line="600" w:lineRule="exact"/>
        <w:ind w:left="0" w:leftChars="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val="en-US" w:eastAsia="zh-CN"/>
        </w:rPr>
        <w:t>（二）</w:t>
      </w:r>
      <w:r>
        <w:rPr>
          <w:rFonts w:hint="default" w:ascii="Times New Roman" w:hAnsi="Times New Roman" w:eastAsia="仿宋_GB2312" w:cs="Times New Roman"/>
          <w:sz w:val="32"/>
          <w:szCs w:val="32"/>
          <w:lang w:val="en-US" w:eastAsia="zh-CN"/>
        </w:rPr>
        <w:t>严格落实水污染防治措施。按照“雨污分流、清污分流、污污分流”原则完善厂区排水系统。生活污水经化粪池处理后由环卫部门定期清运、不外排</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洗煤废水、车间地面清洗废水和压滤机清洗废水经浓缩和压滤处理后通过循环水池回用于生产、不外排，车辆清洗废水经沉淀池处理后回用于清洗车辆、不外排。</w:t>
      </w:r>
    </w:p>
    <w:p w14:paraId="4870DE22">
      <w:pPr>
        <w:pStyle w:val="16"/>
        <w:keepNext w:val="0"/>
        <w:keepLines w:val="0"/>
        <w:pageBreakBefore w:val="0"/>
        <w:tabs>
          <w:tab w:val="left" w:pos="3030"/>
        </w:tabs>
        <w:kinsoku/>
        <w:wordWrap/>
        <w:overflowPunct/>
        <w:topLinePunct w:val="0"/>
        <w:autoSpaceDE/>
        <w:autoSpaceDN/>
        <w:bidi w:val="0"/>
        <w:spacing w:line="600" w:lineRule="exact"/>
        <w:ind w:left="0" w:leftChars="0" w:firstLine="640" w:firstLineChars="20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color w:val="auto"/>
          <w:sz w:val="32"/>
          <w:szCs w:val="32"/>
          <w:highlight w:val="none"/>
          <w:lang w:val="en-US" w:eastAsia="zh-CN"/>
        </w:rPr>
        <w:t>严格落实土壤和地下水污染防治措施。以“源头防控、分区防治、污染监控、应急响应”为原则进行地下水污染防治，强化厂区防漏及事故废水应急收集处理。及时启动应急预案和应急措施，应对土壤或地下水污染。</w:t>
      </w:r>
    </w:p>
    <w:p w14:paraId="4BEDE5A5">
      <w:pPr>
        <w:pStyle w:val="16"/>
        <w:keepNext w:val="0"/>
        <w:keepLines w:val="0"/>
        <w:pageBreakBefore w:val="0"/>
        <w:widowControl w:val="0"/>
        <w:tabs>
          <w:tab w:val="left" w:pos="3030"/>
        </w:tabs>
        <w:kinsoku/>
        <w:wordWrap w:val="0"/>
        <w:overflowPunct/>
        <w:topLinePunct w:val="0"/>
        <w:autoSpaceDE/>
        <w:autoSpaceDN/>
        <w:bidi w:val="0"/>
        <w:adjustRightInd w:val="0"/>
        <w:snapToGrid w:val="0"/>
        <w:spacing w:line="600" w:lineRule="exact"/>
        <w:ind w:left="0" w:leftChars="0" w:firstLine="640" w:firstLineChars="200"/>
        <w:jc w:val="both"/>
        <w:textAlignment w:val="baseline"/>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sz w:val="32"/>
          <w:szCs w:val="32"/>
          <w:highlight w:val="none"/>
          <w:lang w:val="en-US" w:eastAsia="zh-CN"/>
        </w:rPr>
        <w:t>严格落实噪声污染防治措施。通过合理布局，采用防噪、降噪、选用低噪声设备，减振及厂房隔音处理等有效措施后，厂界噪声执行《工业企业厂界环境噪声排放标准》（GB12348-2008）2类标准。</w:t>
      </w:r>
    </w:p>
    <w:p w14:paraId="712B7FC7">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firstLine="640" w:firstLineChars="200"/>
        <w:jc w:val="both"/>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sz w:val="32"/>
          <w:szCs w:val="32"/>
          <w:highlight w:val="none"/>
          <w:lang w:val="en-US" w:eastAsia="zh-CN"/>
        </w:rPr>
        <w:t>（五）</w:t>
      </w:r>
      <w:r>
        <w:rPr>
          <w:rFonts w:ascii="Times New Roman" w:hAnsi="Times New Roman" w:eastAsia="仿宋_GB2312"/>
          <w:sz w:val="32"/>
          <w:szCs w:val="32"/>
        </w:rPr>
        <w:t>严格落实固体废物分类处置措施。</w:t>
      </w:r>
      <w:r>
        <w:rPr>
          <w:rFonts w:hint="eastAsia" w:ascii="Times New Roman" w:hAnsi="Times New Roman" w:eastAsia="仿宋_GB2312" w:cs="Times New Roman"/>
          <w:kern w:val="2"/>
          <w:sz w:val="32"/>
          <w:szCs w:val="32"/>
          <w:lang w:val="en-US" w:eastAsia="zh-CN" w:bidi="ar-SA"/>
        </w:rPr>
        <w:t>一般固体废物厂内暂存应符合《中华人民共和国固体废物污染环境防治法》相关要求，采取防扬散、防流失、防渗漏或者其他防止污染环境的措施，不得擅自倾倒、堆放、丢弃、遗撒；一般工业固体废物管理过程中还应满足《一般工业固体废物管理台账制定指南（试行）》（公告2021年第82号）要求</w:t>
      </w:r>
      <w:bookmarkStart w:id="0" w:name="_GoBack"/>
      <w:bookmarkEnd w:id="0"/>
      <w:r>
        <w:rPr>
          <w:rFonts w:hint="eastAsia" w:ascii="Times New Roman" w:hAnsi="Times New Roman" w:eastAsia="仿宋_GB2312" w:cs="Times New Roman"/>
          <w:kern w:val="2"/>
          <w:sz w:val="32"/>
          <w:szCs w:val="32"/>
          <w:lang w:val="en-US" w:eastAsia="zh-CN" w:bidi="ar-SA"/>
        </w:rPr>
        <w:t>。废机油、废油桶、废药剂桶等危险废物的收集、贮存和转运须达到《危险废物收集、贮存、运输技术规范》(HJ2025-2012)以及《危险废物贮存污染控制标准》 (GB18597-2023) 的相关要求，委托危废资质单位处置。</w:t>
      </w:r>
      <w:r>
        <w:rPr>
          <w:rFonts w:hint="default" w:ascii="Times New Roman" w:hAnsi="Times New Roman" w:eastAsia="仿宋_GB2312" w:cs="Times New Roman"/>
          <w:b w:val="0"/>
          <w:bCs w:val="0"/>
          <w:sz w:val="32"/>
          <w:szCs w:val="32"/>
          <w:lang w:val="en-US" w:eastAsia="zh-CN"/>
        </w:rPr>
        <w:t xml:space="preserve">生活垃圾委托环卫部门定期清运处置。 </w:t>
      </w:r>
    </w:p>
    <w:p w14:paraId="4D847659">
      <w:pPr>
        <w:keepNext w:val="0"/>
        <w:keepLines w:val="0"/>
        <w:pageBreakBefore w:val="0"/>
        <w:kinsoku/>
        <w:wordWrap/>
        <w:overflowPunct/>
        <w:topLinePunct w:val="0"/>
        <w:autoSpaceDE/>
        <w:autoSpaceDN/>
        <w:bidi w:val="0"/>
        <w:spacing w:line="600" w:lineRule="exact"/>
        <w:ind w:left="0" w:leftChars="0" w:firstLine="640" w:firstLineChars="200"/>
        <w:jc w:val="both"/>
        <w:rPr>
          <w:rFonts w:hint="default" w:ascii="Times New Roman" w:hAnsi="Times New Roman" w:eastAsia="仿宋_GB2312"/>
          <w:sz w:val="32"/>
          <w:szCs w:val="32"/>
          <w:highlight w:val="none"/>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sz w:val="32"/>
          <w:szCs w:val="32"/>
          <w:highlight w:val="none"/>
          <w:lang w:val="en-US" w:eastAsia="zh-CN"/>
        </w:rPr>
        <w:t>健全环境管理制度。按照国家和地方有关规定，规范废气治理设施标志牌，标示治理工艺流程图。落实环境影响报告表提出的环境管理及监测计划。厂区下风向设置符合要求的β射线法PM</w:t>
      </w:r>
      <w:r>
        <w:rPr>
          <w:rFonts w:hint="default" w:ascii="Times New Roman" w:hAnsi="Times New Roman" w:eastAsia="仿宋_GB2312"/>
          <w:sz w:val="32"/>
          <w:szCs w:val="32"/>
          <w:highlight w:val="none"/>
          <w:vertAlign w:val="subscript"/>
          <w:lang w:val="en-US" w:eastAsia="zh-CN"/>
        </w:rPr>
        <w:t>10</w:t>
      </w:r>
      <w:r>
        <w:rPr>
          <w:rFonts w:hint="default" w:ascii="Times New Roman" w:hAnsi="Times New Roman" w:eastAsia="仿宋_GB2312"/>
          <w:sz w:val="32"/>
          <w:szCs w:val="32"/>
          <w:highlight w:val="none"/>
          <w:lang w:val="en-US" w:eastAsia="zh-CN"/>
        </w:rPr>
        <w:t>扬尘监测设备，确保设备正常运行和数据正常上传。运输车辆须使用新能源运输车，运输物料不得超出运输车辆封闭箱体。非道路移动机械全部使用新能源机械。参照《重污染天气重点行业移动源应急管理技术指南》建立门禁系统和电子台账，门禁系统监控数据按要求与生态环境部门联网。安装视频监控系统，监控范围包括储存、厂区道路、生产车间</w:t>
      </w:r>
      <w:r>
        <w:rPr>
          <w:rFonts w:hint="eastAsia" w:ascii="Times New Roman" w:hAnsi="Times New Roman" w:eastAsia="仿宋_GB2312"/>
          <w:sz w:val="32"/>
          <w:szCs w:val="32"/>
          <w:highlight w:val="none"/>
          <w:lang w:val="en-US" w:eastAsia="zh-CN"/>
        </w:rPr>
        <w:t>、洗车平台</w:t>
      </w:r>
      <w:r>
        <w:rPr>
          <w:rFonts w:hint="default" w:ascii="Times New Roman" w:hAnsi="Times New Roman" w:eastAsia="仿宋_GB2312"/>
          <w:sz w:val="32"/>
          <w:szCs w:val="32"/>
          <w:highlight w:val="none"/>
          <w:lang w:val="en-US" w:eastAsia="zh-CN"/>
        </w:rPr>
        <w:t>等地方，做到全覆盖、无盲区、全时段监控，且视频存储时间不得少于三个月。</w:t>
      </w:r>
    </w:p>
    <w:p w14:paraId="51F0D39A">
      <w:pPr>
        <w:spacing w:line="60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七</w:t>
      </w:r>
      <w:r>
        <w:rPr>
          <w:rFonts w:ascii="Times New Roman" w:hAnsi="Times New Roman" w:eastAsia="仿宋_GB2312"/>
          <w:sz w:val="32"/>
          <w:szCs w:val="32"/>
          <w:highlight w:val="none"/>
        </w:rPr>
        <w:t>）强</w:t>
      </w:r>
      <w:r>
        <w:rPr>
          <w:rFonts w:ascii="Times New Roman" w:hAnsi="Times New Roman" w:eastAsia="仿宋_GB2312"/>
          <w:sz w:val="32"/>
          <w:szCs w:val="32"/>
        </w:rPr>
        <w:t>化环境风险防范和应急措施。制定突发环境事件应急预案，配备必要的事故防范应急设施、设备并演练，切实加强事故应急处理及防范能力，确保环境安全。做好厂区分区防渗。履行安全生产法定职责，对环保设施和项目开展安全风险辨识管理，健全内部管理责任制度，严格依据标准规范建设环保设施和项目，符合安全生产、事故防范的相关规定。</w:t>
      </w:r>
    </w:p>
    <w:p w14:paraId="000997BC">
      <w:pPr>
        <w:keepNext w:val="0"/>
        <w:keepLines w:val="0"/>
        <w:pageBreakBefore w:val="0"/>
        <w:kinsoku/>
        <w:wordWrap/>
        <w:overflowPunct/>
        <w:topLinePunct w:val="0"/>
        <w:autoSpaceDE/>
        <w:autoSpaceDN/>
        <w:bidi w:val="0"/>
        <w:spacing w:line="600" w:lineRule="exact"/>
        <w:ind w:left="0" w:leftChars="0" w:firstLine="640" w:firstLineChars="200"/>
        <w:jc w:val="both"/>
        <w:rPr>
          <w:rStyle w:val="18"/>
          <w:rFonts w:ascii="Times New Roman" w:hAnsi="Times New Roman" w:eastAsia="仿宋_GB2312"/>
          <w:highlight w:val="none"/>
        </w:rPr>
      </w:pP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八</w:t>
      </w:r>
      <w:r>
        <w:rPr>
          <w:rFonts w:ascii="Times New Roman" w:hAnsi="Times New Roman" w:eastAsia="仿宋_GB2312"/>
          <w:sz w:val="32"/>
          <w:szCs w:val="32"/>
          <w:highlight w:val="none"/>
        </w:rPr>
        <w:t>）强化环境信息公开与公众参与机制。在项目运营过程中，落实建设项目环评信息公开主体责任，针对项目建设的不同阶段，按规定发布企业环境保护信息，自觉接受社会监督。建立畅通的公众参与渠道，加强宣传与沟通工作，及时解决公众反映的环境问题，满足公众合理的环境保护要求</w:t>
      </w:r>
      <w:r>
        <w:rPr>
          <w:rStyle w:val="18"/>
          <w:rFonts w:ascii="Times New Roman" w:hAnsi="Times New Roman" w:eastAsia="仿宋_GB2312"/>
          <w:highlight w:val="none"/>
        </w:rPr>
        <w:t>。</w:t>
      </w:r>
    </w:p>
    <w:p w14:paraId="3D3A205C">
      <w:pPr>
        <w:pStyle w:val="13"/>
        <w:keepNext w:val="0"/>
        <w:keepLines w:val="0"/>
        <w:pageBreakBefore w:val="0"/>
        <w:widowControl w:val="0"/>
        <w:kinsoku/>
        <w:wordWrap/>
        <w:overflowPunct/>
        <w:topLinePunct w:val="0"/>
        <w:autoSpaceDE/>
        <w:autoSpaceDN/>
        <w:bidi w:val="0"/>
        <w:spacing w:before="0" w:beforeAutospacing="0" w:after="0" w:afterLines="0" w:afterAutospacing="0" w:line="600" w:lineRule="exact"/>
        <w:ind w:left="0" w:leftChars="0"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三、严格执行配套建设的环境保护设施与主体项目同时设计、同时施工、同时投入使用的</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三同时</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制度，落实各项环境保护措施</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rPr>
        <w:t>项目建成后，须按规定程序</w:t>
      </w:r>
      <w:r>
        <w:rPr>
          <w:rFonts w:hint="eastAsia" w:eastAsia="仿宋_GB2312" w:cs="Times New Roman"/>
          <w:color w:val="auto"/>
          <w:sz w:val="32"/>
          <w:szCs w:val="32"/>
          <w:lang w:eastAsia="zh-CN"/>
        </w:rPr>
        <w:t>申领排污许可证、</w:t>
      </w:r>
      <w:r>
        <w:rPr>
          <w:rFonts w:hint="default" w:ascii="Times New Roman" w:hAnsi="Times New Roman" w:eastAsia="仿宋_GB2312" w:cs="Times New Roman"/>
          <w:color w:val="auto"/>
          <w:sz w:val="32"/>
          <w:szCs w:val="32"/>
        </w:rPr>
        <w:t>实施竣工环境保护验收</w:t>
      </w:r>
      <w:r>
        <w:rPr>
          <w:rFonts w:hint="default" w:ascii="Times New Roman" w:hAnsi="Times New Roman" w:eastAsia="仿宋_GB2312" w:cs="Times New Roman"/>
          <w:color w:val="auto"/>
          <w:sz w:val="32"/>
          <w:szCs w:val="32"/>
          <w:lang w:eastAsia="zh-CN"/>
        </w:rPr>
        <w:t>，验收通过后，方可正式投运</w:t>
      </w:r>
      <w:r>
        <w:rPr>
          <w:rFonts w:hint="default" w:ascii="Times New Roman" w:hAnsi="Times New Roman" w:eastAsia="仿宋_GB2312" w:cs="Times New Roman"/>
          <w:color w:val="auto"/>
          <w:sz w:val="32"/>
          <w:szCs w:val="32"/>
        </w:rPr>
        <w:t>。</w:t>
      </w:r>
    </w:p>
    <w:p w14:paraId="16B3F062">
      <w:pPr>
        <w:pStyle w:val="13"/>
        <w:keepNext w:val="0"/>
        <w:keepLines w:val="0"/>
        <w:pageBreakBefore w:val="0"/>
        <w:widowControl w:val="0"/>
        <w:kinsoku/>
        <w:wordWrap/>
        <w:overflowPunct/>
        <w:topLinePunct w:val="0"/>
        <w:autoSpaceDE/>
        <w:autoSpaceDN/>
        <w:bidi w:val="0"/>
        <w:spacing w:before="0" w:beforeAutospacing="0" w:after="0" w:afterLines="0" w:afterAutospacing="0" w:line="600" w:lineRule="exact"/>
        <w:ind w:left="0" w:leftChars="0"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四、环境影响报告</w:t>
      </w:r>
      <w:r>
        <w:rPr>
          <w:rFonts w:hint="default" w:ascii="Times New Roman" w:hAnsi="Times New Roman" w:eastAsia="仿宋_GB2312" w:cs="Times New Roman"/>
          <w:color w:val="auto"/>
          <w:sz w:val="32"/>
          <w:szCs w:val="32"/>
          <w:lang w:eastAsia="zh-CN"/>
        </w:rPr>
        <w:t>表</w:t>
      </w:r>
      <w:r>
        <w:rPr>
          <w:rFonts w:hint="default" w:ascii="Times New Roman" w:hAnsi="Times New Roman" w:eastAsia="仿宋_GB2312" w:cs="Times New Roman"/>
          <w:color w:val="auto"/>
          <w:sz w:val="32"/>
          <w:szCs w:val="32"/>
        </w:rPr>
        <w:t>经批准后，项目的性质、规模、地点、生产工艺或者防治污染、防止生态破坏的措施发生重大变动的，应当重新报批该项目的环境影响报告</w:t>
      </w:r>
      <w:r>
        <w:rPr>
          <w:rFonts w:hint="default" w:ascii="Times New Roman" w:hAnsi="Times New Roman" w:eastAsia="仿宋_GB2312" w:cs="Times New Roman"/>
          <w:color w:val="auto"/>
          <w:sz w:val="32"/>
          <w:szCs w:val="32"/>
          <w:lang w:eastAsia="zh-CN"/>
        </w:rPr>
        <w:t>表</w:t>
      </w:r>
      <w:r>
        <w:rPr>
          <w:rFonts w:hint="default" w:ascii="Times New Roman" w:hAnsi="Times New Roman" w:eastAsia="仿宋_GB2312" w:cs="Times New Roman"/>
          <w:color w:val="auto"/>
          <w:sz w:val="32"/>
          <w:szCs w:val="32"/>
        </w:rPr>
        <w:t>。自环境影响报告</w:t>
      </w:r>
      <w:r>
        <w:rPr>
          <w:rFonts w:hint="default" w:ascii="Times New Roman" w:hAnsi="Times New Roman" w:eastAsia="仿宋_GB2312" w:cs="Times New Roman"/>
          <w:color w:val="auto"/>
          <w:sz w:val="32"/>
          <w:szCs w:val="32"/>
          <w:lang w:eastAsia="zh-CN"/>
        </w:rPr>
        <w:t>表</w:t>
      </w:r>
      <w:r>
        <w:rPr>
          <w:rFonts w:hint="default" w:ascii="Times New Roman" w:hAnsi="Times New Roman" w:eastAsia="仿宋_GB2312" w:cs="Times New Roman"/>
          <w:color w:val="auto"/>
          <w:sz w:val="32"/>
          <w:szCs w:val="32"/>
        </w:rPr>
        <w:t>批复文件批准之日起，如超过5年项目才开工的，应当在开工前将环境影响报告</w:t>
      </w:r>
      <w:r>
        <w:rPr>
          <w:rFonts w:hint="default" w:ascii="Times New Roman" w:hAnsi="Times New Roman" w:eastAsia="仿宋_GB2312" w:cs="Times New Roman"/>
          <w:color w:val="auto"/>
          <w:sz w:val="32"/>
          <w:szCs w:val="32"/>
          <w:lang w:eastAsia="zh-CN"/>
        </w:rPr>
        <w:t>表</w:t>
      </w:r>
      <w:r>
        <w:rPr>
          <w:rFonts w:hint="default" w:ascii="Times New Roman" w:hAnsi="Times New Roman" w:eastAsia="仿宋_GB2312" w:cs="Times New Roman"/>
          <w:color w:val="auto"/>
          <w:sz w:val="32"/>
          <w:szCs w:val="32"/>
        </w:rPr>
        <w:t>报批重新审核。如根据法律法规等相关规定需要进行更严格要求的，实行从严管理。</w:t>
      </w:r>
    </w:p>
    <w:p w14:paraId="74F8A9DD">
      <w:pPr>
        <w:spacing w:line="600" w:lineRule="exact"/>
        <w:ind w:firstLine="640" w:firstLineChars="200"/>
        <w:jc w:val="both"/>
        <w:rPr>
          <w:rFonts w:ascii="Times New Roman" w:hAnsi="Times New Roman" w:eastAsia="仿宋_GB2312"/>
          <w:sz w:val="32"/>
          <w:szCs w:val="32"/>
        </w:rPr>
      </w:pPr>
      <w:r>
        <w:rPr>
          <w:rFonts w:hint="default" w:ascii="Times New Roman" w:hAnsi="Times New Roman" w:eastAsia="仿宋_GB2312" w:cs="Times New Roman"/>
          <w:color w:val="auto"/>
          <w:sz w:val="32"/>
          <w:szCs w:val="32"/>
          <w:highlight w:val="none"/>
        </w:rPr>
        <w:t>五、</w:t>
      </w:r>
      <w:r>
        <w:rPr>
          <w:rFonts w:ascii="Times New Roman" w:hAnsi="Times New Roman" w:eastAsia="仿宋_GB2312"/>
          <w:sz w:val="32"/>
          <w:szCs w:val="32"/>
          <w:highlight w:val="none"/>
        </w:rPr>
        <w:t>薛城</w:t>
      </w:r>
      <w:r>
        <w:rPr>
          <w:rFonts w:ascii="Times New Roman" w:hAnsi="Times New Roman" w:eastAsia="仿宋_GB2312"/>
          <w:sz w:val="32"/>
          <w:szCs w:val="32"/>
        </w:rPr>
        <w:t>区</w:t>
      </w:r>
      <w:r>
        <w:rPr>
          <w:rFonts w:hint="eastAsia" w:ascii="Times New Roman" w:hAnsi="Times New Roman" w:eastAsia="仿宋_GB2312"/>
          <w:sz w:val="32"/>
          <w:szCs w:val="32"/>
        </w:rPr>
        <w:t>生态</w:t>
      </w:r>
      <w:r>
        <w:rPr>
          <w:rFonts w:ascii="Times New Roman" w:hAnsi="Times New Roman" w:eastAsia="仿宋_GB2312"/>
          <w:sz w:val="32"/>
          <w:szCs w:val="32"/>
        </w:rPr>
        <w:t>环境</w:t>
      </w:r>
      <w:r>
        <w:rPr>
          <w:rFonts w:hint="eastAsia" w:ascii="Times New Roman" w:hAnsi="Times New Roman" w:eastAsia="仿宋_GB2312"/>
          <w:sz w:val="32"/>
          <w:szCs w:val="32"/>
        </w:rPr>
        <w:t>保护</w:t>
      </w:r>
      <w:r>
        <w:rPr>
          <w:rFonts w:ascii="Times New Roman" w:hAnsi="Times New Roman" w:eastAsia="仿宋_GB2312"/>
          <w:sz w:val="32"/>
          <w:szCs w:val="32"/>
        </w:rPr>
        <w:t>综合执法大队</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陶庄</w:t>
      </w:r>
      <w:r>
        <w:rPr>
          <w:rFonts w:hint="eastAsia" w:ascii="Times New Roman" w:hAnsi="Times New Roman" w:eastAsia="仿宋_GB2312"/>
          <w:sz w:val="32"/>
          <w:szCs w:val="32"/>
        </w:rPr>
        <w:t>镇人民政府</w:t>
      </w:r>
      <w:r>
        <w:rPr>
          <w:rFonts w:ascii="Times New Roman" w:hAnsi="Times New Roman" w:eastAsia="仿宋_GB2312"/>
          <w:sz w:val="32"/>
          <w:szCs w:val="32"/>
        </w:rPr>
        <w:t>负责该项目建设</w:t>
      </w:r>
      <w:r>
        <w:rPr>
          <w:rFonts w:hint="eastAsia" w:ascii="Times New Roman" w:hAnsi="Times New Roman" w:eastAsia="仿宋_GB2312"/>
          <w:sz w:val="32"/>
          <w:szCs w:val="32"/>
        </w:rPr>
        <w:t>及</w:t>
      </w:r>
      <w:r>
        <w:rPr>
          <w:rFonts w:ascii="Times New Roman" w:hAnsi="Times New Roman" w:eastAsia="仿宋_GB2312"/>
          <w:sz w:val="32"/>
          <w:szCs w:val="32"/>
        </w:rPr>
        <w:t>运营期间的环境保护监督检查工作。</w:t>
      </w:r>
    </w:p>
    <w:p w14:paraId="146627EC">
      <w:pPr>
        <w:keepNext w:val="0"/>
        <w:keepLines w:val="0"/>
        <w:pageBreakBefore w:val="0"/>
        <w:widowControl w:val="0"/>
        <w:kinsoku/>
        <w:wordWrap/>
        <w:overflowPunct/>
        <w:topLinePunct w:val="0"/>
        <w:autoSpaceDE/>
        <w:autoSpaceDN/>
        <w:bidi w:val="0"/>
        <w:spacing w:beforeAutospacing="0" w:afterAutospacing="0" w:line="600" w:lineRule="exact"/>
        <w:ind w:left="0" w:leftChars="0"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六、如有符合《中华人民共和国行政许可法》第七十八条</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行政许可申请人隐瞒有关情况或者提供虚假材料申请行政许可，行政机关应不予受理或者不予行政许可情形</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或不符合相关法律法规规定要求的，本批复自然作废。</w:t>
      </w:r>
    </w:p>
    <w:p w14:paraId="523B974A">
      <w:pPr>
        <w:keepNext w:val="0"/>
        <w:keepLines w:val="0"/>
        <w:pageBreakBefore w:val="0"/>
        <w:kinsoku/>
        <w:wordWrap/>
        <w:overflowPunct/>
        <w:topLinePunct w:val="0"/>
        <w:autoSpaceDE/>
        <w:autoSpaceDN/>
        <w:bidi w:val="0"/>
        <w:spacing w:line="600" w:lineRule="exact"/>
        <w:jc w:val="both"/>
        <w:rPr>
          <w:rFonts w:ascii="Times New Roman" w:hAnsi="Times New Roman" w:eastAsia="仿宋_GB2312"/>
          <w:sz w:val="32"/>
          <w:szCs w:val="32"/>
        </w:rPr>
      </w:pPr>
    </w:p>
    <w:p w14:paraId="1683B76B">
      <w:pPr>
        <w:keepNext w:val="0"/>
        <w:keepLines w:val="0"/>
        <w:pageBreakBefore w:val="0"/>
        <w:kinsoku/>
        <w:wordWrap/>
        <w:overflowPunct/>
        <w:topLinePunct w:val="0"/>
        <w:autoSpaceDE/>
        <w:autoSpaceDN/>
        <w:bidi w:val="0"/>
        <w:spacing w:line="600" w:lineRule="exact"/>
        <w:ind w:left="0" w:leftChars="0" w:firstLine="5120" w:firstLineChars="1600"/>
        <w:jc w:val="right"/>
        <w:rPr>
          <w:rFonts w:hint="eastAsia" w:ascii="Times New Roman" w:hAnsi="Times New Roman" w:eastAsia="仿宋_GB2312"/>
          <w:sz w:val="32"/>
          <w:szCs w:val="32"/>
        </w:rPr>
      </w:pPr>
    </w:p>
    <w:p w14:paraId="69C4E690">
      <w:pPr>
        <w:spacing w:line="600" w:lineRule="exact"/>
        <w:jc w:val="right"/>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枣庄市生态环境局薛城分局</w:t>
      </w:r>
    </w:p>
    <w:p w14:paraId="09644F76">
      <w:pPr>
        <w:keepNext w:val="0"/>
        <w:keepLines w:val="0"/>
        <w:pageBreakBefore w:val="0"/>
        <w:kinsoku/>
        <w:wordWrap/>
        <w:overflowPunct/>
        <w:topLinePunct w:val="0"/>
        <w:autoSpaceDE/>
        <w:autoSpaceDN/>
        <w:bidi w:val="0"/>
        <w:spacing w:line="600" w:lineRule="exact"/>
        <w:ind w:left="0" w:leftChars="0" w:firstLine="5760" w:firstLineChars="18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sz w:val="32"/>
          <w:szCs w:val="32"/>
        </w:rPr>
        <w:t>2025年</w:t>
      </w: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rPr>
        <w:t>日</w:t>
      </w:r>
    </w:p>
    <w:p w14:paraId="5C625AF5">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br w:type="page"/>
      </w:r>
    </w:p>
    <w:p w14:paraId="3F5A7EF0">
      <w:pPr>
        <w:pStyle w:val="2"/>
        <w:keepNext w:val="0"/>
        <w:keepLines w:val="0"/>
        <w:pageBreakBefore w:val="0"/>
        <w:kinsoku/>
        <w:wordWrap/>
        <w:overflowPunct/>
        <w:topLinePunct w:val="0"/>
        <w:autoSpaceDE/>
        <w:autoSpaceDN/>
        <w:bidi w:val="0"/>
        <w:spacing w:line="600" w:lineRule="exact"/>
        <w:ind w:left="0" w:leftChars="0" w:firstLine="0" w:firstLineChars="0"/>
      </w:pPr>
    </w:p>
    <w:p w14:paraId="61F1F1BD">
      <w:pPr>
        <w:pStyle w:val="2"/>
        <w:keepNext w:val="0"/>
        <w:keepLines w:val="0"/>
        <w:pageBreakBefore w:val="0"/>
        <w:kinsoku/>
        <w:wordWrap/>
        <w:overflowPunct/>
        <w:topLinePunct w:val="0"/>
        <w:autoSpaceDE/>
        <w:autoSpaceDN/>
        <w:bidi w:val="0"/>
        <w:spacing w:line="600" w:lineRule="exact"/>
        <w:ind w:left="0" w:leftChars="0" w:firstLine="0" w:firstLineChars="0"/>
      </w:pPr>
    </w:p>
    <w:p w14:paraId="48FA2D27">
      <w:pPr>
        <w:pStyle w:val="2"/>
        <w:keepNext w:val="0"/>
        <w:keepLines w:val="0"/>
        <w:pageBreakBefore w:val="0"/>
        <w:kinsoku/>
        <w:wordWrap/>
        <w:overflowPunct/>
        <w:topLinePunct w:val="0"/>
        <w:autoSpaceDE/>
        <w:autoSpaceDN/>
        <w:bidi w:val="0"/>
        <w:spacing w:line="600" w:lineRule="exact"/>
        <w:ind w:left="0" w:leftChars="0" w:firstLine="0" w:firstLineChars="0"/>
      </w:pPr>
    </w:p>
    <w:p w14:paraId="19A603BE">
      <w:pPr>
        <w:pStyle w:val="2"/>
        <w:keepNext w:val="0"/>
        <w:keepLines w:val="0"/>
        <w:pageBreakBefore w:val="0"/>
        <w:kinsoku/>
        <w:wordWrap/>
        <w:overflowPunct/>
        <w:topLinePunct w:val="0"/>
        <w:autoSpaceDE/>
        <w:autoSpaceDN/>
        <w:bidi w:val="0"/>
        <w:spacing w:line="600" w:lineRule="exact"/>
        <w:ind w:left="0" w:leftChars="0" w:firstLine="0" w:firstLineChars="0"/>
      </w:pPr>
    </w:p>
    <w:p w14:paraId="075AD0E8">
      <w:pPr>
        <w:pStyle w:val="2"/>
        <w:keepNext w:val="0"/>
        <w:keepLines w:val="0"/>
        <w:pageBreakBefore w:val="0"/>
        <w:kinsoku/>
        <w:wordWrap/>
        <w:overflowPunct/>
        <w:topLinePunct w:val="0"/>
        <w:autoSpaceDE/>
        <w:autoSpaceDN/>
        <w:bidi w:val="0"/>
        <w:spacing w:line="600" w:lineRule="exact"/>
        <w:ind w:left="0" w:leftChars="0" w:firstLine="0" w:firstLineChars="0"/>
      </w:pPr>
    </w:p>
    <w:p w14:paraId="0A62A4B0">
      <w:pPr>
        <w:pStyle w:val="2"/>
        <w:keepNext w:val="0"/>
        <w:keepLines w:val="0"/>
        <w:pageBreakBefore w:val="0"/>
        <w:kinsoku/>
        <w:wordWrap/>
        <w:overflowPunct/>
        <w:topLinePunct w:val="0"/>
        <w:autoSpaceDE/>
        <w:autoSpaceDN/>
        <w:bidi w:val="0"/>
        <w:spacing w:line="600" w:lineRule="exact"/>
        <w:ind w:left="0" w:leftChars="0" w:firstLine="0" w:firstLineChars="0"/>
      </w:pPr>
    </w:p>
    <w:p w14:paraId="44826AC0">
      <w:pPr>
        <w:pStyle w:val="2"/>
        <w:keepNext w:val="0"/>
        <w:keepLines w:val="0"/>
        <w:pageBreakBefore w:val="0"/>
        <w:kinsoku/>
        <w:wordWrap/>
        <w:overflowPunct/>
        <w:topLinePunct w:val="0"/>
        <w:autoSpaceDE/>
        <w:autoSpaceDN/>
        <w:bidi w:val="0"/>
        <w:spacing w:line="600" w:lineRule="exact"/>
        <w:ind w:left="0" w:leftChars="0" w:firstLine="0" w:firstLineChars="0"/>
      </w:pPr>
    </w:p>
    <w:p w14:paraId="4F555D8B">
      <w:pPr>
        <w:pStyle w:val="2"/>
        <w:keepNext w:val="0"/>
        <w:keepLines w:val="0"/>
        <w:pageBreakBefore w:val="0"/>
        <w:kinsoku/>
        <w:wordWrap/>
        <w:overflowPunct/>
        <w:topLinePunct w:val="0"/>
        <w:autoSpaceDE/>
        <w:autoSpaceDN/>
        <w:bidi w:val="0"/>
        <w:spacing w:line="600" w:lineRule="exact"/>
        <w:ind w:left="0" w:leftChars="0" w:firstLine="0" w:firstLineChars="0"/>
      </w:pPr>
    </w:p>
    <w:p w14:paraId="73ED0EDC">
      <w:pPr>
        <w:pStyle w:val="2"/>
        <w:keepNext w:val="0"/>
        <w:keepLines w:val="0"/>
        <w:pageBreakBefore w:val="0"/>
        <w:kinsoku/>
        <w:wordWrap/>
        <w:overflowPunct/>
        <w:topLinePunct w:val="0"/>
        <w:autoSpaceDE/>
        <w:autoSpaceDN/>
        <w:bidi w:val="0"/>
        <w:spacing w:line="600" w:lineRule="exact"/>
        <w:ind w:left="0" w:leftChars="0" w:firstLine="0" w:firstLineChars="0"/>
      </w:pPr>
    </w:p>
    <w:p w14:paraId="1A7A72B5">
      <w:pPr>
        <w:pStyle w:val="2"/>
        <w:keepNext w:val="0"/>
        <w:keepLines w:val="0"/>
        <w:pageBreakBefore w:val="0"/>
        <w:kinsoku/>
        <w:wordWrap/>
        <w:overflowPunct/>
        <w:topLinePunct w:val="0"/>
        <w:autoSpaceDE/>
        <w:autoSpaceDN/>
        <w:bidi w:val="0"/>
        <w:spacing w:line="600" w:lineRule="exact"/>
        <w:ind w:left="0" w:leftChars="0" w:firstLine="0" w:firstLineChars="0"/>
      </w:pPr>
    </w:p>
    <w:p w14:paraId="3C70F121">
      <w:pPr>
        <w:pStyle w:val="2"/>
        <w:keepNext w:val="0"/>
        <w:keepLines w:val="0"/>
        <w:pageBreakBefore w:val="0"/>
        <w:kinsoku/>
        <w:wordWrap/>
        <w:overflowPunct/>
        <w:topLinePunct w:val="0"/>
        <w:autoSpaceDE/>
        <w:autoSpaceDN/>
        <w:bidi w:val="0"/>
        <w:spacing w:line="600" w:lineRule="exact"/>
        <w:ind w:left="0" w:leftChars="0" w:firstLine="0" w:firstLineChars="0"/>
      </w:pPr>
    </w:p>
    <w:p w14:paraId="465DCE5D">
      <w:pPr>
        <w:pStyle w:val="2"/>
        <w:keepNext w:val="0"/>
        <w:keepLines w:val="0"/>
        <w:pageBreakBefore w:val="0"/>
        <w:kinsoku/>
        <w:wordWrap/>
        <w:overflowPunct/>
        <w:topLinePunct w:val="0"/>
        <w:autoSpaceDE/>
        <w:autoSpaceDN/>
        <w:bidi w:val="0"/>
        <w:spacing w:line="600" w:lineRule="exact"/>
        <w:ind w:left="0" w:leftChars="0" w:firstLine="0" w:firstLineChars="0"/>
      </w:pPr>
    </w:p>
    <w:p w14:paraId="2AFC72A8">
      <w:pPr>
        <w:pStyle w:val="2"/>
        <w:keepNext w:val="0"/>
        <w:keepLines w:val="0"/>
        <w:pageBreakBefore w:val="0"/>
        <w:kinsoku/>
        <w:wordWrap/>
        <w:overflowPunct/>
        <w:topLinePunct w:val="0"/>
        <w:autoSpaceDE/>
        <w:autoSpaceDN/>
        <w:bidi w:val="0"/>
        <w:spacing w:line="600" w:lineRule="exact"/>
        <w:ind w:left="0" w:leftChars="0" w:firstLine="0" w:firstLineChars="0"/>
      </w:pPr>
    </w:p>
    <w:p w14:paraId="1270B917">
      <w:pPr>
        <w:pStyle w:val="2"/>
        <w:keepNext w:val="0"/>
        <w:keepLines w:val="0"/>
        <w:pageBreakBefore w:val="0"/>
        <w:kinsoku/>
        <w:wordWrap/>
        <w:overflowPunct/>
        <w:topLinePunct w:val="0"/>
        <w:autoSpaceDE/>
        <w:autoSpaceDN/>
        <w:bidi w:val="0"/>
        <w:spacing w:line="600" w:lineRule="exact"/>
        <w:ind w:left="0" w:leftChars="0" w:firstLine="0" w:firstLineChars="0"/>
      </w:pPr>
    </w:p>
    <w:p w14:paraId="3FD8FA0C">
      <w:pPr>
        <w:pStyle w:val="2"/>
        <w:keepNext w:val="0"/>
        <w:keepLines w:val="0"/>
        <w:pageBreakBefore w:val="0"/>
        <w:kinsoku/>
        <w:wordWrap/>
        <w:overflowPunct/>
        <w:topLinePunct w:val="0"/>
        <w:autoSpaceDE/>
        <w:autoSpaceDN/>
        <w:bidi w:val="0"/>
        <w:spacing w:line="600" w:lineRule="exact"/>
        <w:ind w:left="0" w:leftChars="0" w:firstLine="0" w:firstLineChars="0"/>
      </w:pPr>
    </w:p>
    <w:p w14:paraId="7C55F414">
      <w:pPr>
        <w:spacing w:line="580" w:lineRule="exact"/>
        <w:rPr>
          <w:rFonts w:ascii="Times New Roman" w:hAnsi="Times New Roman" w:eastAsia="仿宋_GB2312"/>
          <w:sz w:val="32"/>
          <w:szCs w:val="32"/>
        </w:rPr>
      </w:pPr>
      <w:r>
        <w:rPr>
          <w:rFonts w:ascii="Times New Roman" w:hAnsi="Times New Roman" w:eastAsia="仿宋_GB2312"/>
          <w:sz w:val="32"/>
          <w:szCs w:val="32"/>
        </w:rPr>
        <w:t>主题词：环保  环境影响评价  报告表  批复</w:t>
      </w:r>
    </w:p>
    <w:p w14:paraId="7569B265">
      <w:pPr>
        <w:pStyle w:val="9"/>
        <w:widowControl/>
        <w:spacing w:beforeAutospacing="0" w:afterAutospacing="0" w:line="580" w:lineRule="exact"/>
        <w:rPr>
          <w:rFonts w:hint="default" w:ascii="Times New Roman" w:hAnsi="Times New Roman" w:eastAsia="仿宋_GB2312"/>
          <w:b w:val="0"/>
          <w:w w:val="95"/>
          <w:sz w:val="32"/>
          <w:szCs w:val="32"/>
        </w:rPr>
      </w:pPr>
      <w:r>
        <w:rPr>
          <w:rFonts w:hint="default" w:ascii="Times New Roman" w:hAnsi="Times New Roman" w:eastAsia="仿宋_GB2312"/>
          <w:b w:val="0"/>
          <w:w w:val="95"/>
          <w:sz w:val="32"/>
          <w:szCs w:val="32"/>
        </w:rPr>
        <mc:AlternateContent>
          <mc:Choice Requires="wps">
            <w:drawing>
              <wp:anchor distT="0" distB="0" distL="114300" distR="114300" simplePos="0" relativeHeight="251659264" behindDoc="0" locked="0" layoutInCell="1" allowOverlap="1">
                <wp:simplePos x="0" y="0"/>
                <wp:positionH relativeFrom="column">
                  <wp:posOffset>6350</wp:posOffset>
                </wp:positionH>
                <wp:positionV relativeFrom="paragraph">
                  <wp:posOffset>22225</wp:posOffset>
                </wp:positionV>
                <wp:extent cx="5386705" cy="0"/>
                <wp:effectExtent l="0" t="9525" r="4445" b="9525"/>
                <wp:wrapNone/>
                <wp:docPr id="1" name="Line 2"/>
                <wp:cNvGraphicFramePr/>
                <a:graphic xmlns:a="http://schemas.openxmlformats.org/drawingml/2006/main">
                  <a:graphicData uri="http://schemas.microsoft.com/office/word/2010/wordprocessingShape">
                    <wps:wsp>
                      <wps:cNvCnPr/>
                      <wps:spPr>
                        <a:xfrm>
                          <a:off x="0" y="0"/>
                          <a:ext cx="5386705"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Line 2" o:spid="_x0000_s1026" o:spt="20" style="position:absolute;left:0pt;margin-left:0.5pt;margin-top:1.75pt;height:0pt;width:424.15pt;z-index:251659264;mso-width-relative:page;mso-height-relative:page;" filled="f" stroked="t" coordsize="21600,21600" o:gfxdata="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5Kec10gAAAAUBAAAPAAAAAAAAAAEAIAAAACIAAABk&#10;cnMvZG93bnJldi54bWxQSwECFAAUAAAACACHTuJA46gnWdMBAADOAwAADgAAAAAAAAABACAAAAAh&#10;AQAAZHJzL2Uyb0RvYy54bWxQSwUGAAAAAAYABgBZAQAAZgUAAAAA&#10;">
                <v:fill on="f" focussize="0,0"/>
                <v:stroke weight="1.5pt" color="#000000" joinstyle="round"/>
                <v:imagedata o:title=""/>
                <o:lock v:ext="edit" aspectratio="f"/>
              </v:line>
            </w:pict>
          </mc:Fallback>
        </mc:AlternateContent>
      </w:r>
      <w:r>
        <w:rPr>
          <w:rFonts w:hint="default" w:ascii="Times New Roman" w:hAnsi="Times New Roman" w:eastAsia="仿宋_GB2312"/>
          <w:b w:val="0"/>
          <w:w w:val="95"/>
          <w:sz w:val="32"/>
          <w:szCs w:val="32"/>
        </w:rPr>
        <w:t>抄 送：薛城区</w:t>
      </w:r>
      <w:r>
        <w:rPr>
          <w:rFonts w:ascii="Times New Roman" w:hAnsi="Times New Roman" w:eastAsia="仿宋_GB2312"/>
          <w:b w:val="0"/>
          <w:w w:val="95"/>
          <w:sz w:val="32"/>
          <w:szCs w:val="32"/>
        </w:rPr>
        <w:t>生态</w:t>
      </w:r>
      <w:r>
        <w:rPr>
          <w:rFonts w:hint="default" w:ascii="Times New Roman" w:hAnsi="Times New Roman" w:eastAsia="仿宋_GB2312"/>
          <w:b w:val="0"/>
          <w:w w:val="95"/>
          <w:sz w:val="32"/>
          <w:szCs w:val="32"/>
        </w:rPr>
        <w:t>环境</w:t>
      </w:r>
      <w:r>
        <w:rPr>
          <w:rFonts w:ascii="Times New Roman" w:hAnsi="Times New Roman" w:eastAsia="仿宋_GB2312"/>
          <w:b w:val="0"/>
          <w:w w:val="95"/>
          <w:sz w:val="32"/>
          <w:szCs w:val="32"/>
        </w:rPr>
        <w:t>保护</w:t>
      </w:r>
      <w:r>
        <w:rPr>
          <w:rFonts w:hint="default" w:ascii="Times New Roman" w:hAnsi="Times New Roman" w:eastAsia="仿宋_GB2312"/>
          <w:b w:val="0"/>
          <w:w w:val="95"/>
          <w:sz w:val="32"/>
          <w:szCs w:val="32"/>
        </w:rPr>
        <w:t>综合执法大队、</w:t>
      </w:r>
      <w:r>
        <w:rPr>
          <w:rFonts w:ascii="Times New Roman" w:hAnsi="Times New Roman" w:eastAsia="仿宋_GB2312"/>
          <w:b w:val="0"/>
          <w:w w:val="95"/>
          <w:sz w:val="32"/>
          <w:szCs w:val="32"/>
        </w:rPr>
        <w:t>薛城区应急管理局、</w:t>
      </w:r>
      <w:r>
        <w:rPr>
          <w:rFonts w:hint="eastAsia" w:ascii="Times New Roman" w:hAnsi="Times New Roman" w:eastAsia="仿宋_GB2312"/>
          <w:b w:val="0"/>
          <w:w w:val="95"/>
          <w:sz w:val="32"/>
          <w:szCs w:val="32"/>
          <w:highlight w:val="none"/>
        </w:rPr>
        <w:t>山东美陵中联环境工程有限公司</w:t>
      </w:r>
    </w:p>
    <w:p w14:paraId="79B75121">
      <w:pPr>
        <w:spacing w:line="580" w:lineRule="exact"/>
        <w:rPr>
          <w:rFonts w:hint="default" w:ascii="Times New Roman" w:hAnsi="Times New Roman" w:eastAsia="仿宋_GB2312" w:cs="Times New Roman"/>
          <w:sz w:val="32"/>
          <w:szCs w:val="32"/>
          <w:lang w:val="en-US" w:eastAsia="zh-CN"/>
        </w:rPr>
      </w:pPr>
      <w:r>
        <w:rPr>
          <w:rFonts w:ascii="Times New Roman" w:hAnsi="Times New Roman" w:eastAsia="仿宋_GB2312"/>
          <w:w w:val="95"/>
          <w:sz w:val="32"/>
          <w:szCs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36195</wp:posOffset>
                </wp:positionV>
                <wp:extent cx="5361305" cy="635"/>
                <wp:effectExtent l="0" t="0" r="0" b="0"/>
                <wp:wrapNone/>
                <wp:docPr id="2" name="Line 3"/>
                <wp:cNvGraphicFramePr/>
                <a:graphic xmlns:a="http://schemas.openxmlformats.org/drawingml/2006/main">
                  <a:graphicData uri="http://schemas.microsoft.com/office/word/2010/wordprocessingShape">
                    <wps:wsp>
                      <wps:cNvCnPr/>
                      <wps:spPr>
                        <a:xfrm>
                          <a:off x="0" y="0"/>
                          <a:ext cx="5361305"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Line 3" o:spid="_x0000_s1026" o:spt="20" style="position:absolute;left:0pt;margin-left:0.05pt;margin-top:2.85pt;height:0.05pt;width:422.15pt;z-index:251660288;mso-width-relative:page;mso-height-relative:page;" filled="f" stroked="t" coordsize="21600,21600" o:gfxdata="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&#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gTQEDQAAAABAEAAA8AAAAAAAAAAQAgAAAAIgAAAGRy&#10;cy9kb3ducmV2LnhtbFBLAQIUABQAAAAIAIdO4kB7BofX1AEAANADAAAOAAAAAAAAAAEAIAAAAB8B&#10;AABkcnMvZTJvRG9jLnhtbFBLBQYAAAAABgAGAFkBAABlBQAAAAA=&#10;">
                <v:fill on="f" focussize="0,0"/>
                <v:stroke weight="1.5pt" color="#000000" joinstyle="round"/>
                <v:imagedata o:title=""/>
                <o:lock v:ext="edit" aspectratio="f"/>
              </v:line>
            </w:pict>
          </mc:Fallback>
        </mc:AlternateContent>
      </w:r>
      <w:r>
        <w:rPr>
          <w:rFonts w:ascii="Times New Roman" w:hAnsi="Times New Roman" w:eastAsia="仿宋_GB2312"/>
          <w:w w:val="95"/>
          <w:sz w:val="32"/>
          <w:szCs w:val="32"/>
        </w:rPr>
        <w:t>枣庄市生态环境局薛城分局办公室 2025年</w:t>
      </w:r>
      <w:r>
        <w:rPr>
          <w:rFonts w:hint="eastAsia" w:ascii="Times New Roman" w:hAnsi="Times New Roman" w:eastAsia="仿宋_GB2312"/>
          <w:w w:val="95"/>
          <w:sz w:val="32"/>
          <w:szCs w:val="32"/>
          <w:lang w:val="en-US" w:eastAsia="zh-CN"/>
        </w:rPr>
        <w:t>11</w:t>
      </w:r>
      <w:r>
        <w:rPr>
          <w:rFonts w:ascii="Times New Roman" w:hAnsi="Times New Roman" w:eastAsia="仿宋_GB2312"/>
          <w:w w:val="95"/>
          <w:sz w:val="32"/>
          <w:szCs w:val="32"/>
        </w:rPr>
        <w:t>月</w:t>
      </w:r>
      <w:r>
        <w:rPr>
          <w:rFonts w:hint="eastAsia" w:ascii="Times New Roman" w:hAnsi="Times New Roman" w:eastAsia="仿宋_GB2312"/>
          <w:w w:val="95"/>
          <w:sz w:val="32"/>
          <w:szCs w:val="32"/>
          <w:lang w:val="en-US" w:eastAsia="zh-CN"/>
        </w:rPr>
        <w:t>25</w:t>
      </w:r>
      <w:r>
        <w:rPr>
          <w:rFonts w:ascii="Times New Roman" w:hAnsi="Times New Roman" w:eastAsia="仿宋_GB2312"/>
          <w:w w:val="95"/>
          <w:sz w:val="32"/>
          <w:szCs w:val="32"/>
        </w:rPr>
        <w:t>日 打印6份</w:t>
      </w:r>
    </w:p>
    <w:sectPr>
      <w:footerReference r:id="rId3" w:type="default"/>
      <w:pgSz w:w="11906" w:h="16838"/>
      <w:pgMar w:top="1701" w:right="1701" w:bottom="1701" w:left="1701" w:header="1134" w:footer="113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CJK JP Regular">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558A4">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3B27E">
                          <w:pPr>
                            <w:pStyle w:val="11"/>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B53B27E">
                    <w:pPr>
                      <w:pStyle w:val="11"/>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74386E"/>
    <w:multiLevelType w:val="singleLevel"/>
    <w:tmpl w:val="BF74386E"/>
    <w:lvl w:ilvl="0" w:tentative="0">
      <w:start w:val="1"/>
      <w:numFmt w:val="bullet"/>
      <w:pStyle w:val="10"/>
      <w:lvlText w:val=""/>
      <w:lvlJc w:val="left"/>
      <w:pPr>
        <w:tabs>
          <w:tab w:val="left" w:pos="2040"/>
        </w:tabs>
        <w:ind w:left="2040" w:hanging="360"/>
      </w:pPr>
      <w:rPr>
        <w:rFonts w:hint="default" w:ascii="Wingdings" w:hAnsi="Wingdings"/>
      </w:rPr>
    </w:lvl>
  </w:abstractNum>
  <w:abstractNum w:abstractNumId="1">
    <w:nsid w:val="D39D9EB1"/>
    <w:multiLevelType w:val="singleLevel"/>
    <w:tmpl w:val="D39D9EB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A5973"/>
    <w:rsid w:val="0AAF55D3"/>
    <w:rsid w:val="0C4C730A"/>
    <w:rsid w:val="1EFC2D00"/>
    <w:rsid w:val="21A01963"/>
    <w:rsid w:val="2BEE65D5"/>
    <w:rsid w:val="34B47FF8"/>
    <w:rsid w:val="4DA53E05"/>
    <w:rsid w:val="4E4C11EE"/>
    <w:rsid w:val="54B673C8"/>
    <w:rsid w:val="5CA812CE"/>
    <w:rsid w:val="5F687A8A"/>
    <w:rsid w:val="6A701113"/>
    <w:rsid w:val="74973BFA"/>
    <w:rsid w:val="77F77204"/>
    <w:rsid w:val="7AF7A041"/>
    <w:rsid w:val="9FD797C9"/>
    <w:rsid w:val="F77F93C3"/>
    <w:rsid w:val="FBDB3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9">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4"/>
    <w:qFormat/>
    <w:uiPriority w:val="0"/>
    <w:pPr>
      <w:spacing w:after="120"/>
      <w:ind w:left="420" w:leftChars="200"/>
    </w:pPr>
  </w:style>
  <w:style w:type="paragraph" w:styleId="4">
    <w:name w:val="header"/>
    <w:basedOn w:val="1"/>
    <w:next w:val="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
    <w:name w:val="样式5"/>
    <w:basedOn w:val="6"/>
    <w:next w:val="8"/>
    <w:qFormat/>
    <w:uiPriority w:val="0"/>
    <w:pPr>
      <w:tabs>
        <w:tab w:val="left" w:pos="900"/>
      </w:tabs>
      <w:autoSpaceDE w:val="0"/>
      <w:autoSpaceDN w:val="0"/>
      <w:spacing w:line="400" w:lineRule="exact"/>
      <w:ind w:firstLine="200" w:firstLineChars="200"/>
      <w:jc w:val="left"/>
    </w:pPr>
    <w:rPr>
      <w:rFonts w:ascii="Noto Sans CJK JP Regular" w:hAnsi="Noto Sans CJK JP Regular" w:eastAsia="Noto Sans CJK JP Regular" w:cs="Noto Sans CJK JP Regular"/>
      <w:kern w:val="0"/>
      <w:sz w:val="24"/>
      <w:szCs w:val="20"/>
      <w:lang w:eastAsia="en-US"/>
    </w:rPr>
  </w:style>
  <w:style w:type="paragraph" w:styleId="6">
    <w:name w:val="Body Text"/>
    <w:basedOn w:val="1"/>
    <w:next w:val="7"/>
    <w:qFormat/>
    <w:uiPriority w:val="0"/>
    <w:pPr>
      <w:spacing w:after="120" w:afterLines="0"/>
    </w:pPr>
  </w:style>
  <w:style w:type="paragraph" w:customStyle="1" w:styleId="7">
    <w:name w:val="Date1"/>
    <w:basedOn w:val="1"/>
    <w:next w:val="1"/>
    <w:qFormat/>
    <w:uiPriority w:val="0"/>
    <w:rPr>
      <w:szCs w:val="20"/>
    </w:rPr>
  </w:style>
  <w:style w:type="paragraph" w:styleId="8">
    <w:name w:val="endnote text"/>
    <w:basedOn w:val="1"/>
    <w:qFormat/>
    <w:uiPriority w:val="0"/>
    <w:pPr>
      <w:autoSpaceDE w:val="0"/>
      <w:autoSpaceDN w:val="0"/>
      <w:snapToGrid w:val="0"/>
      <w:jc w:val="left"/>
    </w:pPr>
    <w:rPr>
      <w:rFonts w:ascii="Noto Sans CJK JP Regular" w:hAnsi="Noto Sans CJK JP Regular" w:eastAsia="Noto Sans CJK JP Regular" w:cs="Noto Sans CJK JP Regular"/>
      <w:kern w:val="0"/>
      <w:sz w:val="22"/>
      <w:szCs w:val="22"/>
      <w:lang w:eastAsia="en-US"/>
    </w:rPr>
  </w:style>
  <w:style w:type="paragraph" w:styleId="10">
    <w:name w:val="List Bullet 5"/>
    <w:basedOn w:val="1"/>
    <w:qFormat/>
    <w:uiPriority w:val="0"/>
    <w:pPr>
      <w:numPr>
        <w:ilvl w:val="0"/>
        <w:numId w:val="1"/>
      </w:numPr>
    </w:p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Cs w:val="21"/>
    </w:rPr>
  </w:style>
  <w:style w:type="paragraph" w:styleId="13">
    <w:name w:val="Body Text First Indent"/>
    <w:basedOn w:val="6"/>
    <w:next w:val="1"/>
    <w:qFormat/>
    <w:uiPriority w:val="0"/>
    <w:pPr>
      <w:widowControl w:val="0"/>
      <w:snapToGrid/>
      <w:spacing w:before="0" w:after="120" w:line="240" w:lineRule="auto"/>
      <w:ind w:right="0" w:firstLine="420" w:firstLineChars="100"/>
    </w:pPr>
    <w:rPr>
      <w:rFonts w:ascii="Times New Roman" w:hAnsi="Times New Roman" w:eastAsia="宋体"/>
      <w:kern w:val="2"/>
      <w:sz w:val="21"/>
      <w:szCs w:val="24"/>
    </w:rPr>
  </w:style>
  <w:style w:type="paragraph" w:customStyle="1" w:styleId="16">
    <w:name w:val="报告书正文样式1"/>
    <w:basedOn w:val="17"/>
    <w:qFormat/>
    <w:uiPriority w:val="0"/>
    <w:pPr>
      <w:spacing w:line="360" w:lineRule="auto"/>
    </w:pPr>
    <w:rPr>
      <w:rFonts w:ascii="Arial" w:hAnsi="Arial" w:cs="Arial"/>
      <w:szCs w:val="24"/>
    </w:rPr>
  </w:style>
  <w:style w:type="paragraph" w:customStyle="1" w:styleId="17">
    <w:name w:val="报告书正文"/>
    <w:basedOn w:val="1"/>
    <w:qFormat/>
    <w:uiPriority w:val="0"/>
    <w:pPr>
      <w:adjustRightInd w:val="0"/>
      <w:snapToGrid w:val="0"/>
      <w:spacing w:line="360" w:lineRule="atLeast"/>
      <w:ind w:firstLine="425"/>
      <w:textAlignment w:val="baseline"/>
    </w:pPr>
    <w:rPr>
      <w:rFonts w:ascii="Times New Roman" w:hAnsi="Times New Roman"/>
      <w:sz w:val="24"/>
      <w:szCs w:val="20"/>
    </w:rPr>
  </w:style>
  <w:style w:type="character" w:customStyle="1" w:styleId="18">
    <w:name w:val="NormalCharacter"/>
    <w:qFormat/>
    <w:uiPriority w:val="0"/>
    <w:rPr>
      <w:kern w:val="2"/>
      <w:sz w:val="32"/>
      <w:szCs w:val="32"/>
      <w:lang w:val="en-US" w:eastAsia="zh-CN" w:bidi="ar-SA"/>
    </w:rPr>
  </w:style>
  <w:style w:type="paragraph" w:customStyle="1" w:styleId="19">
    <w:name w:val="正文hks"/>
    <w:basedOn w:val="1"/>
    <w:qFormat/>
    <w:uiPriority w:val="0"/>
    <w:pPr>
      <w:spacing w:line="360" w:lineRule="auto"/>
      <w:ind w:firstLine="200" w:firstLineChars="200"/>
    </w:pPr>
    <w:rPr>
      <w:rFonts w:ascii="Calibri" w:hAnsi="Calibri" w:cs="Calibri"/>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2270</Words>
  <Characters>2364</Characters>
  <Lines>1</Lines>
  <Paragraphs>1</Paragraphs>
  <TotalTime>0</TotalTime>
  <ScaleCrop>false</ScaleCrop>
  <LinksUpToDate>false</LinksUpToDate>
  <CharactersWithSpaces>2745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2025-07-29T00:02:00Z</dcterms:created>
  <dc:creator>Administrator</dc:creator>
  <cp:lastModifiedBy>奥比岛岛主</cp:lastModifiedBy>
  <cp:lastPrinted>2025-11-27T02:44:00Z</cp:lastPrinted>
  <dcterms:modified xsi:type="dcterms:W3CDTF">2025-12-02T01:49:58Z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eyJoZGlkIjoiMGQ4OTNlZDFmOTVkOTFlYzcwNTQxNTQxNzczNjQ4MmIiLCJ1c2VySWQiOiI2MDU2NDE0MjQifQ==</vt:lpwstr>
  </property>
  <property fmtid="{D5CDD505-2E9C-101B-9397-08002B2CF9AE}" pid="4" name="ICV">
    <vt:lpwstr>6C50ACB045934DEDB67F26BC944CEA65_12</vt:lpwstr>
  </property>
</Properties>
</file>