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 w:cs="Times New Roman"/>
          <w:b/>
          <w:bCs/>
          <w:color w:val="000000"/>
          <w:sz w:val="32"/>
          <w:szCs w:val="32"/>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 w:cs="Times New Roman"/>
          <w:b/>
          <w:bCs/>
          <w:color w:val="000000"/>
          <w:sz w:val="32"/>
          <w:szCs w:val="32"/>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 w:cs="Times New Roman"/>
          <w:b/>
          <w:bCs/>
          <w:color w:val="000000"/>
          <w:sz w:val="32"/>
          <w:szCs w:val="32"/>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 w:cs="Times New Roman"/>
          <w:b/>
          <w:bCs/>
          <w:color w:val="000000"/>
          <w:sz w:val="32"/>
          <w:szCs w:val="32"/>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 w:cs="Times New Roman"/>
          <w:b/>
          <w:bCs/>
          <w:color w:val="000000"/>
          <w:sz w:val="32"/>
          <w:szCs w:val="32"/>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仿宋" w:cs="Times New Roman"/>
          <w:b/>
          <w:bCs/>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仿宋" w:eastAsia="仿宋_GB2312"/>
          <w:color w:val="auto"/>
          <w:sz w:val="32"/>
          <w:szCs w:val="32"/>
        </w:rPr>
      </w:pPr>
      <w:r>
        <w:rPr>
          <w:rFonts w:ascii="Times New Roman" w:hAnsi="Times New Roman" w:eastAsia="仿宋_GB2312" w:cs="Times New Roman"/>
          <w:color w:val="000000"/>
          <w:sz w:val="32"/>
          <w:szCs w:val="32"/>
        </w:rPr>
        <w:t>枣环薛审字〔202</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r>
        <w:rPr>
          <w:rFonts w:hint="eastAsia" w:ascii="仿宋_GB2312" w:hAnsi="仿宋" w:eastAsia="仿宋_GB2312"/>
          <w:color w:val="auto"/>
          <w:sz w:val="32"/>
          <w:szCs w:val="32"/>
        </w:rPr>
        <w:t>B-</w:t>
      </w:r>
      <w:r>
        <w:rPr>
          <w:rFonts w:hint="eastAsia" w:ascii="仿宋_GB2312" w:hAnsi="仿宋" w:eastAsia="仿宋_GB2312"/>
          <w:color w:val="auto"/>
          <w:sz w:val="32"/>
          <w:szCs w:val="32"/>
          <w:lang w:val="en-US" w:eastAsia="zh-CN"/>
        </w:rPr>
        <w:t>35</w:t>
      </w:r>
      <w:r>
        <w:rPr>
          <w:rFonts w:hint="eastAsia" w:ascii="仿宋_GB2312" w:hAnsi="仿宋" w:eastAsia="仿宋_GB2312"/>
          <w:color w:val="auto"/>
          <w:sz w:val="32"/>
          <w:szCs w:val="32"/>
        </w:rPr>
        <w:t>号</w:t>
      </w:r>
    </w:p>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p>
    <w:p>
      <w:pPr>
        <w:widowControl/>
        <w:spacing w:line="600" w:lineRule="exact"/>
        <w:jc w:val="center"/>
        <w:rPr>
          <w:rFonts w:ascii="Times New Roman" w:hAnsi="Times New Roman" w:eastAsia="仿宋_GB2312" w:cs="Times New Roman"/>
          <w:sz w:val="32"/>
          <w:szCs w:val="32"/>
        </w:rPr>
      </w:pPr>
      <w:r>
        <w:rPr>
          <w:rFonts w:hint="eastAsia" w:ascii="Times New Roman" w:hAnsi="Times New Roman" w:eastAsia="方正小标宋简体"/>
          <w:sz w:val="44"/>
          <w:szCs w:val="44"/>
        </w:rPr>
        <w:t>关于山东凯硕能源有限公司年产40000吨黑炭黑产品项目环境影响报告表的批复</w:t>
      </w:r>
    </w:p>
    <w:p>
      <w:pPr>
        <w:pStyle w:val="16"/>
        <w:tabs>
          <w:tab w:val="left" w:pos="3030"/>
        </w:tabs>
        <w:spacing w:line="600" w:lineRule="exact"/>
        <w:ind w:firstLine="640" w:firstLineChars="200"/>
        <w:rPr>
          <w:rFonts w:ascii="Times New Roman" w:hAnsi="Times New Roman" w:eastAsia="仿宋_GB2312" w:cs="Times New Roman"/>
          <w:sz w:val="32"/>
          <w:szCs w:val="32"/>
        </w:rPr>
      </w:pPr>
    </w:p>
    <w:p>
      <w:pPr>
        <w:pStyle w:val="16"/>
        <w:keepNext w:val="0"/>
        <w:keepLines w:val="0"/>
        <w:pageBreakBefore w:val="0"/>
        <w:widowControl w:val="0"/>
        <w:tabs>
          <w:tab w:val="left" w:pos="3030"/>
        </w:tabs>
        <w:kinsoku/>
        <w:overflowPunct/>
        <w:topLinePunct w:val="0"/>
        <w:bidi w:val="0"/>
        <w:spacing w:line="600" w:lineRule="exact"/>
        <w:ind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山东凯硕能源有限公司</w:t>
      </w:r>
      <w:r>
        <w:rPr>
          <w:rFonts w:ascii="Times New Roman" w:hAnsi="Times New Roman" w:eastAsia="仿宋_GB2312" w:cs="Times New Roman"/>
          <w:sz w:val="32"/>
          <w:szCs w:val="32"/>
        </w:rPr>
        <w:t>：</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w:t>
      </w:r>
      <w:r>
        <w:rPr>
          <w:rFonts w:hint="eastAsia" w:ascii="Times New Roman" w:hAnsi="Times New Roman" w:eastAsia="仿宋_GB2312" w:cs="Times New Roman"/>
          <w:sz w:val="32"/>
          <w:szCs w:val="32"/>
        </w:rPr>
        <w:t>山东凯硕能源有限公司年产40000吨黑炭黑产品项目</w:t>
      </w:r>
      <w:r>
        <w:rPr>
          <w:rFonts w:ascii="Times New Roman" w:hAnsi="Times New Roman" w:eastAsia="仿宋_GB2312" w:cs="Times New Roman"/>
          <w:sz w:val="32"/>
          <w:szCs w:val="32"/>
        </w:rPr>
        <w:t>环境影响报告表》收悉。经研究，批复如下：</w:t>
      </w:r>
    </w:p>
    <w:p>
      <w:pPr>
        <w:pStyle w:val="16"/>
        <w:keepNext w:val="0"/>
        <w:keepLines w:val="0"/>
        <w:pageBreakBefore w:val="0"/>
        <w:widowControl w:val="0"/>
        <w:numPr>
          <w:ilvl w:val="0"/>
          <w:numId w:val="2"/>
        </w:numPr>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项目为新建，位于</w:t>
      </w:r>
      <w:r>
        <w:rPr>
          <w:rFonts w:hint="eastAsia" w:ascii="Times New Roman" w:hAnsi="Times New Roman" w:eastAsia="仿宋_GB2312" w:cs="Times New Roman"/>
          <w:sz w:val="32"/>
          <w:szCs w:val="32"/>
        </w:rPr>
        <w:t>枣庄市薛城区陶庄镇院山社区西</w:t>
      </w:r>
      <w:r>
        <w:rPr>
          <w:rFonts w:ascii="Times New Roman" w:hAnsi="Times New Roman" w:eastAsia="仿宋_GB2312" w:cs="Times New Roman"/>
          <w:sz w:val="32"/>
          <w:szCs w:val="32"/>
        </w:rPr>
        <w:t>,占地面积5000平方米，该项目总投资1700万元，其中环保投资34万元。主要购置</w:t>
      </w:r>
      <w:r>
        <w:rPr>
          <w:rFonts w:hint="eastAsia" w:ascii="Times New Roman" w:hAnsi="Times New Roman" w:eastAsia="仿宋_GB2312" w:cs="Times New Roman"/>
          <w:sz w:val="32"/>
          <w:szCs w:val="32"/>
        </w:rPr>
        <w:t>超微研磨磨、磁选机、造粒机、烘干机、筛分机、粗破机、包装机等</w:t>
      </w:r>
      <w:r>
        <w:rPr>
          <w:rFonts w:ascii="Times New Roman" w:hAnsi="Times New Roman" w:eastAsia="仿宋_GB2312" w:cs="Times New Roman"/>
          <w:sz w:val="32"/>
          <w:szCs w:val="32"/>
        </w:rPr>
        <w:t>主要生产设备，</w:t>
      </w:r>
      <w:r>
        <w:rPr>
          <w:rFonts w:hint="eastAsia" w:ascii="Times New Roman" w:hAnsi="Times New Roman" w:eastAsia="仿宋_GB2312" w:cs="Times New Roman"/>
          <w:sz w:val="32"/>
          <w:szCs w:val="32"/>
        </w:rPr>
        <w:t>主要原材料为不合格炭黑（粗炭黑），生产工艺：投料－磁选－研磨－入仓－黑炭黑粉－造粒－烘干－粗破－筛分－包装。项目建成后，可达到年产20000吨黑炭黑粉末产品（轮胎补强剂、填充剂、耐磨剂）、20000吨黑炭黑颗粒的规模。</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在符合产业政策与园区总体规划、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二、项目在运营中须严格落实环境影响报告表提出的污染防治措施和以下要求：</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（一）加强施工环境管理。</w:t>
      </w:r>
      <w:r>
        <w:rPr>
          <w:rFonts w:hint="eastAsia" w:ascii="Times New Roman" w:hAnsi="Times New Roman" w:eastAsia="仿宋_GB2312" w:cs="Times New Roman"/>
          <w:sz w:val="32"/>
          <w:szCs w:val="32"/>
        </w:rPr>
        <w:t>合理安排施工时间，优化施工工艺，防止工程施工造成环境污染和生态破坏。强化施工期环境管理，合理处置施工垃圾及废水，按照《枣庄市生态环境保护委员会办公室关于印发&lt;枣庄市市直部门大气污染治理技术导则&gt;的通知》（枣环委办字〔2023〕1号）要求，采取有效措施降低施工期扬尘污染。</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（二）严格落实大气污染防治措施。项目废气主要为</w:t>
      </w:r>
      <w:r>
        <w:rPr>
          <w:rFonts w:hint="eastAsia" w:ascii="Times New Roman" w:hAnsi="Times New Roman" w:eastAsia="仿宋_GB2312" w:cs="Times New Roman"/>
          <w:sz w:val="32"/>
          <w:szCs w:val="32"/>
        </w:rPr>
        <w:t>原料仓上料废气、物料收集风送废气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黑炭黑粉末成品入仓废气、黑炭黑粉末成品出料包装废气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无机粘合剂投料废气、黑炭黑颗粒烘干废气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黑炭黑颗粒产品出料包装废气等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物料收集风送废气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黑炭黑粉末成品出料包装废气收集后</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布袋除尘器处理，处理后通过15m高的排气筒DA001排放；黑炭黑颗粒烘干废气收集后</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布袋除尘器处理，处理后通过15m高的排气筒DA00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排放。排气筒DA001颗粒物有组织排放浓度执行《区域性大气污染物综合排放标准》（DB37/</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2376-2019）表1重点控制区标准要求；排气筒DA002颗粒物、二氧化硫、氮氧化物有组织排放浓度执行《区域性大气污染物综合排放标准》（DB37/</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2376-2019）表1重点控制区标准要求。</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原料仓上料废气、黑炭黑粉末成品入仓废气通过仓顶处除尘器处理后，车间内无组织排放；黑炭黑颗粒产品出料包装废气通过便携式移动除尘器收集处理后车间内无组织排放；无机粘合剂投料废气车间内无组织排放。严格落实报告表提出的无组织排放措施，加强车间密闭，及时洒水降尘。无组织颗粒物厂界浓度执行《大气污染物综合排放标准》（GB</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16297-1996）表2中颗粒物无组织排放监控浓度限值</w:t>
      </w:r>
      <w:r>
        <w:rPr>
          <w:rFonts w:ascii="Times New Roman" w:hAnsi="Times New Roman" w:eastAsia="仿宋_GB2312" w:cs="Times New Roman"/>
          <w:sz w:val="32"/>
          <w:szCs w:val="32"/>
        </w:rPr>
        <w:t>要求。</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（三）严格落实水污染防治措施。按照“雨污分流、清污分流、污污分流”原则完善厂区排水系统。生活废水经化粪池处理后，由环卫部门定期清运，生产废水不外排。</w:t>
      </w:r>
    </w:p>
    <w:p>
      <w:pPr>
        <w:pStyle w:val="16"/>
        <w:keepNext w:val="0"/>
        <w:keepLines w:val="0"/>
        <w:pageBreakBefore w:val="0"/>
        <w:widowControl w:val="0"/>
        <w:tabs>
          <w:tab w:val="left" w:pos="3030"/>
        </w:tabs>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严格落实土壤和地下水污染防治措施。以“源头防控、分区防治、污染监控、应急响应”为原则进行地下水污染防治，强化厂区防漏及事故废水应急收集处理。及时启动应急预案和应急措施，应对土壤或地下水污染。</w:t>
      </w:r>
    </w:p>
    <w:p>
      <w:pPr>
        <w:pStyle w:val="16"/>
        <w:keepNext w:val="0"/>
        <w:keepLines w:val="0"/>
        <w:pageBreakBefore w:val="0"/>
        <w:widowControl w:val="0"/>
        <w:tabs>
          <w:tab w:val="left" w:pos="3030"/>
        </w:tabs>
        <w:kinsoku/>
        <w:wordWrap w:val="0"/>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（五）严格落实噪声污染防治措施。通过合理布局，采用防噪、降噪、选用低噪声设备，减振及厂房隔音处理等有效措施后，厂界噪声执行《工业企业厂界环境噪声排放标准》（GB12348-2008）2类标准。</w:t>
      </w:r>
    </w:p>
    <w:p>
      <w:pPr>
        <w:keepNext w:val="0"/>
        <w:keepLines w:val="0"/>
        <w:pageBreakBefore w:val="0"/>
        <w:widowControl w:val="0"/>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sz w:val="32"/>
          <w:szCs w:val="32"/>
        </w:rPr>
        <w:t>一般固体废物全部合理综合利用或回收处置，贮存过程应符合《一般工业固体废物贮存和填埋污染控制标准》(GB 18599-2020)中相应防渗漏、防雨淋、防扬尘等环境保护的要求。</w:t>
      </w:r>
      <w:r>
        <w:rPr>
          <w:rFonts w:hint="default" w:ascii="Times New Roman" w:hAnsi="Times New Roman" w:eastAsia="仿宋_GB2312" w:cs="Times New Roman"/>
          <w:kern w:val="2"/>
          <w:sz w:val="32"/>
          <w:szCs w:val="32"/>
          <w:lang w:val="en-US" w:eastAsia="zh-CN" w:bidi="ar-SA"/>
        </w:rPr>
        <w:t>废机油、废机油桶</w:t>
      </w:r>
      <w:r>
        <w:rPr>
          <w:rFonts w:hint="eastAsia"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sz w:val="32"/>
          <w:szCs w:val="32"/>
        </w:rPr>
        <w:t>危险废物的收集、贮存和转运须达到《危险废物收集、贮存、运输技术规范》(HJ</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2025-2012)以及《危险废物贮存污染控制标准》(GB</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18597-2023)的相关要求，</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委托危废资质单位处置。</w:t>
      </w:r>
      <w:r>
        <w:rPr>
          <w:rFonts w:ascii="Times New Roman" w:hAnsi="Times New Roman" w:eastAsia="仿宋_GB2312" w:cs="Times New Roman"/>
          <w:sz w:val="32"/>
          <w:szCs w:val="32"/>
        </w:rPr>
        <w:t>生活垃圾委托环卫部门定期清运处置。</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lang w:eastAsia="zh-CN"/>
        </w:rPr>
      </w:pPr>
      <w:r>
        <w:rPr>
          <w:rFonts w:ascii="Times New Roman" w:hAnsi="Times New Roman" w:eastAsia="仿宋_GB2312"/>
          <w:sz w:val="32"/>
          <w:szCs w:val="32"/>
        </w:rPr>
        <w:t>（</w:t>
      </w:r>
      <w:r>
        <w:rPr>
          <w:rFonts w:hint="eastAsia" w:ascii="Times New Roman" w:hAnsi="Times New Roman" w:eastAsia="仿宋_GB2312"/>
          <w:sz w:val="32"/>
          <w:szCs w:val="32"/>
        </w:rPr>
        <w:t>七</w:t>
      </w:r>
      <w:r>
        <w:rPr>
          <w:rFonts w:ascii="Times New Roman" w:hAnsi="Times New Roman" w:eastAsia="仿宋_GB2312"/>
          <w:sz w:val="32"/>
          <w:szCs w:val="32"/>
        </w:rPr>
        <w:t>）</w:t>
      </w:r>
      <w:r>
        <w:rPr>
          <w:rFonts w:hint="eastAsia" w:ascii="仿宋_GB2312" w:hAnsi="仿宋" w:eastAsia="仿宋_GB2312" w:cs="Times New Roman"/>
          <w:color w:val="auto"/>
          <w:sz w:val="32"/>
          <w:szCs w:val="32"/>
          <w:shd w:val="clear" w:color="auto" w:fill="auto"/>
        </w:rPr>
        <w:t>项目建成运</w:t>
      </w:r>
      <w:r>
        <w:rPr>
          <w:rFonts w:hint="eastAsia" w:ascii="仿宋_GB2312" w:hAnsi="Times New Roman" w:eastAsia="仿宋_GB2312" w:cs="Times New Roman"/>
          <w:color w:val="auto"/>
          <w:sz w:val="32"/>
          <w:szCs w:val="32"/>
          <w:shd w:val="clear" w:color="auto" w:fill="auto"/>
          <w:lang w:eastAsia="zh-CN"/>
        </w:rPr>
        <w:t>行后，有组织排放</w:t>
      </w:r>
      <w:r>
        <w:rPr>
          <w:rFonts w:hint="eastAsia" w:ascii="Times New Roman" w:hAnsi="Times New Roman" w:eastAsia="仿宋_GB2312"/>
          <w:sz w:val="32"/>
          <w:szCs w:val="32"/>
        </w:rPr>
        <w:t>颗粒物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二氧化硫</w:t>
      </w:r>
      <w:bookmarkStart w:id="0" w:name="_GoBack"/>
      <w:bookmarkEnd w:id="0"/>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氮氧化物</w:t>
      </w:r>
      <w:r>
        <w:rPr>
          <w:rFonts w:hint="eastAsia" w:ascii="仿宋_GB2312" w:hAnsi="Times New Roman" w:eastAsia="仿宋_GB2312" w:cs="Times New Roman"/>
          <w:color w:val="auto"/>
          <w:sz w:val="32"/>
          <w:szCs w:val="32"/>
          <w:shd w:val="clear" w:color="auto" w:fill="auto"/>
          <w:lang w:eastAsia="zh-CN"/>
        </w:rPr>
        <w:t>必须严格控制在</w:t>
      </w:r>
      <w:r>
        <w:rPr>
          <w:rFonts w:ascii="Times New Roman" w:hAnsi="Times New Roman" w:eastAsia="仿宋_GB2312"/>
          <w:sz w:val="32"/>
          <w:szCs w:val="32"/>
        </w:rPr>
        <w:t>0.4783</w:t>
      </w:r>
      <w:r>
        <w:rPr>
          <w:rFonts w:hint="eastAsia" w:ascii="Times New Roman" w:hAnsi="Times New Roman" w:eastAsia="仿宋_GB2312"/>
          <w:sz w:val="32"/>
          <w:szCs w:val="32"/>
        </w:rPr>
        <w:t>t/a</w:t>
      </w:r>
      <w:r>
        <w:rPr>
          <w:rFonts w:hint="eastAsia" w:ascii="Times New Roman" w:hAnsi="Times New Roman" w:eastAsia="仿宋_GB2312"/>
          <w:sz w:val="32"/>
          <w:szCs w:val="32"/>
          <w:lang w:eastAsia="zh-CN"/>
        </w:rPr>
        <w:t>、</w:t>
      </w:r>
      <w:r>
        <w:rPr>
          <w:rFonts w:ascii="Times New Roman" w:hAnsi="Times New Roman" w:eastAsia="仿宋_GB2312"/>
          <w:sz w:val="32"/>
          <w:szCs w:val="32"/>
        </w:rPr>
        <w:t>0.144</w:t>
      </w:r>
      <w:r>
        <w:rPr>
          <w:rFonts w:hint="eastAsia" w:ascii="Times New Roman" w:hAnsi="Times New Roman" w:eastAsia="仿宋_GB2312"/>
          <w:sz w:val="32"/>
          <w:szCs w:val="32"/>
        </w:rPr>
        <w:t>t/a</w:t>
      </w:r>
      <w:r>
        <w:rPr>
          <w:rFonts w:hint="eastAsia" w:ascii="Times New Roman" w:hAnsi="Times New Roman" w:eastAsia="仿宋_GB2312"/>
          <w:sz w:val="32"/>
          <w:szCs w:val="32"/>
          <w:lang w:eastAsia="zh-CN"/>
        </w:rPr>
        <w:t>、</w:t>
      </w:r>
      <w:r>
        <w:rPr>
          <w:rFonts w:ascii="Times New Roman" w:hAnsi="Times New Roman" w:eastAsia="仿宋_GB2312"/>
          <w:sz w:val="32"/>
          <w:szCs w:val="32"/>
        </w:rPr>
        <w:t>0.4896</w:t>
      </w:r>
      <w:r>
        <w:rPr>
          <w:rFonts w:hint="eastAsia" w:ascii="Times New Roman" w:hAnsi="Times New Roman" w:eastAsia="仿宋_GB2312"/>
          <w:sz w:val="32"/>
          <w:szCs w:val="32"/>
        </w:rPr>
        <w:t>t/a</w:t>
      </w:r>
      <w:r>
        <w:rPr>
          <w:rFonts w:hint="eastAsia" w:ascii="仿宋_GB2312" w:hAnsi="Times New Roman" w:eastAsia="仿宋_GB2312" w:cs="Times New Roman"/>
          <w:color w:val="auto"/>
          <w:sz w:val="32"/>
          <w:szCs w:val="32"/>
          <w:shd w:val="clear" w:color="auto" w:fill="auto"/>
          <w:lang w:eastAsia="zh-CN"/>
        </w:rPr>
        <w:t>以内。</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八</w:t>
      </w:r>
      <w:r>
        <w:rPr>
          <w:rFonts w:ascii="Times New Roman" w:hAnsi="Times New Roman" w:eastAsia="仿宋_GB2312"/>
          <w:sz w:val="32"/>
          <w:szCs w:val="32"/>
        </w:rPr>
        <w:t>）健全环境管理制度。按照国家和地方有关规定，规范废气治理设施标志牌，标示治理工艺流程图。落实环境影响报告表提出的环境管理及监测计划。厂区下风向设置符合要求的β射线法PM</w:t>
      </w:r>
      <w:r>
        <w:rPr>
          <w:rFonts w:ascii="Times New Roman" w:hAnsi="Times New Roman" w:eastAsia="仿宋_GB2312"/>
          <w:sz w:val="32"/>
          <w:szCs w:val="32"/>
          <w:vertAlign w:val="subscript"/>
        </w:rPr>
        <w:t>10</w:t>
      </w:r>
      <w:r>
        <w:rPr>
          <w:rFonts w:ascii="Times New Roman" w:hAnsi="Times New Roman" w:eastAsia="仿宋_GB2312"/>
          <w:sz w:val="32"/>
          <w:szCs w:val="32"/>
        </w:rPr>
        <w:t>扬尘监测设备，确保设备正常运行和数据正常上传。运输车辆须使用新能源运输车，运输物料不得超出运输车辆封闭箱体。非道路移动机械全部使用新能源机械。参照《重污染天气重点行业移动源应急管理技术指南》建立门禁系统和电子台账，门禁系统监控数据按要求与生态环境部门联网。安装视频监控系统，监控范围包括储存、厂区道路、生产车间</w:t>
      </w:r>
      <w:r>
        <w:rPr>
          <w:rFonts w:hint="eastAsia" w:ascii="Times New Roman" w:hAnsi="Times New Roman" w:eastAsia="仿宋_GB2312"/>
          <w:sz w:val="32"/>
          <w:szCs w:val="32"/>
        </w:rPr>
        <w:t>、洗车平台</w:t>
      </w:r>
      <w:r>
        <w:rPr>
          <w:rFonts w:ascii="Times New Roman" w:hAnsi="Times New Roman" w:eastAsia="仿宋_GB2312"/>
          <w:sz w:val="32"/>
          <w:szCs w:val="32"/>
        </w:rPr>
        <w:t>等地方，做到全覆盖、无盲区、全时段监控，且视频存储时间不得少于三个月。</w:t>
      </w:r>
      <w:r>
        <w:rPr>
          <w:rFonts w:hint="eastAsia" w:ascii="Times New Roman" w:hAnsi="Times New Roman" w:eastAsia="仿宋_GB2312" w:cs="Times New Roman"/>
          <w:kern w:val="2"/>
          <w:sz w:val="32"/>
          <w:szCs w:val="32"/>
          <w:lang w:val="en-US" w:eastAsia="zh-CN" w:bidi="ar-SA"/>
        </w:rPr>
        <w:t>环保设备安装“分表计电”智能控制系统，并与生态环境部门联网。</w:t>
      </w:r>
    </w:p>
    <w:p>
      <w:pPr>
        <w:keepNext w:val="0"/>
        <w:keepLines w:val="0"/>
        <w:pageBreakBefore w:val="0"/>
        <w:widowControl w:val="0"/>
        <w:kinsoku/>
        <w:overflowPunct/>
        <w:topLinePunct w:val="0"/>
        <w:bidi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九</w:t>
      </w:r>
      <w:r>
        <w:rPr>
          <w:rFonts w:ascii="Times New Roman" w:hAnsi="Times New Roman" w:eastAsia="仿宋_GB2312"/>
          <w:sz w:val="32"/>
          <w:szCs w:val="32"/>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widowControl w:val="0"/>
        <w:kinsoku/>
        <w:overflowPunct/>
        <w:topLinePunct w:val="0"/>
        <w:bidi w:val="0"/>
        <w:spacing w:line="600" w:lineRule="exact"/>
        <w:ind w:firstLine="640" w:firstLineChars="200"/>
        <w:rPr>
          <w:rStyle w:val="18"/>
          <w:rFonts w:ascii="Times New Roman" w:hAnsi="Times New Roman" w:eastAsia="仿宋_GB2312"/>
        </w:rPr>
      </w:pP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十</w:t>
      </w:r>
      <w:r>
        <w:rPr>
          <w:rFonts w:hint="eastAsia" w:ascii="Times New Roman" w:hAnsi="Times New Roman" w:eastAsia="仿宋_GB2312"/>
          <w:bCs/>
          <w:sz w:val="32"/>
          <w:szCs w:val="32"/>
        </w:rPr>
        <w:t>）</w:t>
      </w:r>
      <w:r>
        <w:rPr>
          <w:rFonts w:ascii="Times New Roman" w:hAnsi="Times New Roman" w:eastAsia="仿宋_GB2312"/>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18"/>
          <w:rFonts w:ascii="Times New Roman" w:hAnsi="Times New Roman" w:eastAsia="仿宋_GB2312"/>
        </w:rPr>
        <w:t>。</w:t>
      </w:r>
    </w:p>
    <w:p>
      <w:pPr>
        <w:pStyle w:val="2"/>
        <w:keepNext w:val="0"/>
        <w:keepLines w:val="0"/>
        <w:pageBreakBefore w:val="0"/>
        <w:widowControl w:val="0"/>
        <w:kinsoku/>
        <w:overflowPunct/>
        <w:topLinePunct w:val="0"/>
        <w:bidi w:val="0"/>
        <w:spacing w:after="0" w:line="600" w:lineRule="exact"/>
        <w:ind w:firstLine="640" w:firstLineChars="200"/>
        <w:rPr>
          <w:rFonts w:eastAsia="仿宋_GB2312" w:cs="Times New Roman"/>
          <w:sz w:val="32"/>
          <w:szCs w:val="32"/>
        </w:rPr>
      </w:pPr>
      <w:r>
        <w:rPr>
          <w:rFonts w:eastAsia="仿宋_GB2312" w:cs="Times New Roman"/>
          <w:sz w:val="32"/>
          <w:szCs w:val="32"/>
        </w:rPr>
        <w:t>三、严格执行配套建设的环境保护设施与主体项目同时设计、同时施工、同时投入使用的</w:t>
      </w:r>
      <w:r>
        <w:rPr>
          <w:rFonts w:hint="eastAsia" w:eastAsia="仿宋_GB2312" w:cs="Times New Roman"/>
          <w:sz w:val="32"/>
          <w:szCs w:val="32"/>
        </w:rPr>
        <w:t>“</w:t>
      </w:r>
      <w:r>
        <w:rPr>
          <w:rFonts w:eastAsia="仿宋_GB2312" w:cs="Times New Roman"/>
          <w:sz w:val="32"/>
          <w:szCs w:val="32"/>
        </w:rPr>
        <w:t>三同时</w:t>
      </w:r>
      <w:r>
        <w:rPr>
          <w:rFonts w:hint="eastAsia" w:eastAsia="仿宋_GB2312" w:cs="Times New Roman"/>
          <w:sz w:val="32"/>
          <w:szCs w:val="32"/>
        </w:rPr>
        <w:t>”</w:t>
      </w:r>
      <w:r>
        <w:rPr>
          <w:rFonts w:eastAsia="仿宋_GB2312" w:cs="Times New Roman"/>
          <w:sz w:val="32"/>
          <w:szCs w:val="32"/>
        </w:rPr>
        <w:t>制度，落实各项环境保护措施。项目建成后，须按规定程序</w:t>
      </w:r>
      <w:r>
        <w:rPr>
          <w:rFonts w:hint="eastAsia" w:eastAsia="仿宋_GB2312" w:cs="Times New Roman"/>
          <w:sz w:val="32"/>
          <w:szCs w:val="32"/>
        </w:rPr>
        <w:t>申领排污许可证、</w:t>
      </w:r>
      <w:r>
        <w:rPr>
          <w:rFonts w:eastAsia="仿宋_GB2312" w:cs="Times New Roman"/>
          <w:sz w:val="32"/>
          <w:szCs w:val="32"/>
        </w:rPr>
        <w:t>实施竣工环境保护验收，验收通过后，方可正式投运。</w:t>
      </w:r>
    </w:p>
    <w:p>
      <w:pPr>
        <w:pStyle w:val="2"/>
        <w:keepNext w:val="0"/>
        <w:keepLines w:val="0"/>
        <w:pageBreakBefore w:val="0"/>
        <w:widowControl w:val="0"/>
        <w:kinsoku/>
        <w:overflowPunct/>
        <w:topLinePunct w:val="0"/>
        <w:bidi w:val="0"/>
        <w:spacing w:after="0" w:line="600" w:lineRule="exact"/>
        <w:ind w:firstLine="640" w:firstLineChars="200"/>
        <w:rPr>
          <w:rFonts w:eastAsia="仿宋_GB2312" w:cs="Times New Roman"/>
          <w:sz w:val="32"/>
          <w:szCs w:val="32"/>
        </w:rPr>
      </w:pPr>
      <w:r>
        <w:rPr>
          <w:rFonts w:eastAsia="仿宋_GB2312" w:cs="Times New Roman"/>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keepNext w:val="0"/>
        <w:keepLines w:val="0"/>
        <w:pageBreakBefore w:val="0"/>
        <w:widowControl w:val="0"/>
        <w:kinsoku/>
        <w:overflowPunct/>
        <w:topLinePunct w:val="0"/>
        <w:bidi w:val="0"/>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五、</w:t>
      </w:r>
      <w:r>
        <w:rPr>
          <w:rFonts w:ascii="Times New Roman" w:hAnsi="Times New Roman" w:eastAsia="仿宋_GB2312"/>
          <w:sz w:val="32"/>
          <w:szCs w:val="32"/>
        </w:rPr>
        <w:t>薛城区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、陶庄镇人民政府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pPr>
        <w:keepNext w:val="0"/>
        <w:keepLines w:val="0"/>
        <w:pageBreakBefore w:val="0"/>
        <w:widowControl w:val="0"/>
        <w:kinsoku/>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六、如有符合《中华人民共和国行政许可法》第七十八条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行政许可申请人隐瞒有关情况或者提供虚假材料申请行政许可，行政机关应不予受理或者不予行政许可情形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或不符合相关法律法规规定要求的，本批复自然作废。</w:t>
      </w:r>
    </w:p>
    <w:p>
      <w:pPr>
        <w:keepNext w:val="0"/>
        <w:keepLines w:val="0"/>
        <w:pageBreakBefore w:val="0"/>
        <w:widowControl w:val="0"/>
        <w:kinsoku/>
        <w:overflowPunct/>
        <w:topLinePunct w:val="0"/>
        <w:bidi w:val="0"/>
        <w:spacing w:line="600" w:lineRule="exact"/>
        <w:rPr>
          <w:rFonts w:ascii="Times New Roman" w:hAnsi="Times New Roman" w:eastAsia="仿宋_GB2312"/>
          <w:sz w:val="32"/>
          <w:szCs w:val="32"/>
        </w:rPr>
      </w:pPr>
    </w:p>
    <w:p>
      <w:pPr>
        <w:keepNext w:val="0"/>
        <w:keepLines w:val="0"/>
        <w:pageBreakBefore w:val="0"/>
        <w:widowControl w:val="0"/>
        <w:kinsoku/>
        <w:overflowPunct/>
        <w:topLinePunct w:val="0"/>
        <w:bidi w:val="0"/>
        <w:spacing w:line="600" w:lineRule="exact"/>
        <w:ind w:firstLine="5120" w:firstLineChars="1600"/>
        <w:jc w:val="right"/>
        <w:rPr>
          <w:rFonts w:ascii="Times New Roman" w:hAnsi="Times New Roman" w:eastAsia="仿宋_GB2312"/>
          <w:sz w:val="32"/>
          <w:szCs w:val="32"/>
        </w:rPr>
      </w:pPr>
    </w:p>
    <w:p>
      <w:pPr>
        <w:keepNext w:val="0"/>
        <w:keepLines w:val="0"/>
        <w:pageBreakBefore w:val="0"/>
        <w:widowControl w:val="0"/>
        <w:kinsoku/>
        <w:overflowPunct/>
        <w:topLinePunct w:val="0"/>
        <w:bidi w:val="0"/>
        <w:spacing w:line="600" w:lineRule="exact"/>
        <w:jc w:val="right"/>
        <w:rPr>
          <w:rFonts w:ascii="Times New Roman" w:hAnsi="Times New Roman" w:eastAsia="仿宋_GB2312"/>
          <w:sz w:val="32"/>
          <w:szCs w:val="32"/>
        </w:rPr>
      </w:pPr>
      <w:r>
        <w:rPr>
          <w:rFonts w:hint="eastAsia" w:ascii="Times New Roman" w:hAnsi="Times New Roman" w:eastAsia="仿宋_GB2312"/>
          <w:sz w:val="32"/>
          <w:szCs w:val="32"/>
        </w:rPr>
        <w:t>枣庄市生态环境局薛城分局</w:t>
      </w:r>
    </w:p>
    <w:p>
      <w:pPr>
        <w:keepNext w:val="0"/>
        <w:keepLines w:val="0"/>
        <w:pageBreakBefore w:val="0"/>
        <w:widowControl w:val="0"/>
        <w:kinsoku/>
        <w:overflowPunct/>
        <w:topLinePunct w:val="0"/>
        <w:bidi w:val="0"/>
        <w:spacing w:line="600" w:lineRule="exact"/>
        <w:ind w:firstLine="5760" w:firstLineChars="1800"/>
        <w:rPr>
          <w:rFonts w:hint="default"/>
          <w:lang w:val="en-US"/>
        </w:rPr>
      </w:pP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12月23日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pPr>
    </w:p>
    <w:p/>
    <w:p>
      <w:pPr>
        <w:pStyle w:val="2"/>
      </w:pPr>
    </w:p>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spacing w:line="580" w:lineRule="exac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pPr>
        <w:pStyle w:val="5"/>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薛城区应急管理局、山东美陵中联环境工程有限公司</w:t>
      </w:r>
    </w:p>
    <w:p>
      <w:pPr>
        <w:spacing w:line="580" w:lineRule="exact"/>
        <w:rPr>
          <w:rFonts w:ascii="Times New Roman" w:hAnsi="Times New Roman" w:eastAsia="仿宋_GB2312" w:cs="Times New Roman"/>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B7BofX1AEAANADAAAOAAAAZHJz&#10;L2Uyb0RvYy54bWytU02P0zAQvSPxHyzfadJWrSBquocty2UFlYAf4NqTxJK/5PE27b9n7IQuLJce&#10;yMEZ2zNv5r0Z7x4u1rAzRNTetXy5qDkDJ73Srm/5zx9PHz5yhkk4JYx30PIrIH/Yv3+3G0MDKz94&#10;oyAyAnHYjKHlQ0qhqSqUA1iBCx/A0WXnoxWJtrGvVBQjoVtTrep6W40+qhC9BEQ6PUyXfEaM9wD6&#10;rtMSDl6+WHBpQo1gRCJKOOiAfF+q7TqQ6VvXISRmWk5MU1kpCdmnvFb7nWj6KMKg5VyCuKeEN5ys&#10;0I6S3qAOIgn2EvU/UFbL6NF3aSG9rSYiRRFisazfaPN9EAEKF5Iaw010/H+w8uv5GJlWLV9x5oSl&#10;hj9rB2ydlRkDNuTw6I5x3mE4xkzz0kWb/0SAXYqa15uacElM0uFmvV2u6w1nku62601GrF5DQ8T0&#10;Bbxl2Wi5oaxFQXF+xjS5/nbJmYxjI43rp3pDrZOCBq+jhpNpAxWPri/B6I1WT9qYHIKxPz2ayM4i&#10;N798cw1/ueUsB4HD5FeusptoBhDqs1MsXQPJ4ug18FyDBcWZAXo82SqeSWhzjyfRN45UyMJOUmbr&#10;5NW1KFzOqdFFp3ko8yT9uS/Rrw9x/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ewaH1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2025年</w:t>
      </w:r>
      <w:r>
        <w:rPr>
          <w:rFonts w:hint="eastAsia" w:ascii="Times New Roman" w:hAnsi="Times New Roman" w:eastAsia="仿宋_GB2312"/>
          <w:w w:val="95"/>
          <w:sz w:val="32"/>
          <w:szCs w:val="32"/>
          <w:lang w:val="en-US" w:eastAsia="zh-CN"/>
        </w:rPr>
        <w:t>12</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23</w:t>
      </w:r>
      <w:r>
        <w:rPr>
          <w:rFonts w:ascii="Times New Roman" w:hAnsi="Times New Roman" w:eastAsia="仿宋_GB2312"/>
          <w:w w:val="95"/>
          <w:sz w:val="32"/>
          <w:szCs w:val="32"/>
        </w:rPr>
        <w:t>日 打印6份</w:t>
      </w:r>
    </w:p>
    <w:sectPr>
      <w:footerReference r:id="rId3" w:type="default"/>
      <w:pgSz w:w="11906" w:h="16838"/>
      <w:pgMar w:top="1701" w:right="1701" w:bottom="1701" w:left="1701"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Noto Sans CJK JP Regular">
    <w:panose1 w:val="020B0500000000000000"/>
    <w:charset w:val="86"/>
    <w:family w:val="auto"/>
    <w:pitch w:val="default"/>
    <w:sig w:usb0="30000003" w:usb1="2BDF3C10" w:usb2="00000016" w:usb3="00000000" w:csb0="602E0107"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4386E"/>
    <w:multiLevelType w:val="singleLevel"/>
    <w:tmpl w:val="BF74386E"/>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D39D9EB1"/>
    <w:multiLevelType w:val="singleLevel"/>
    <w:tmpl w:val="D39D9EB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C5"/>
    <w:rsid w:val="00310E0E"/>
    <w:rsid w:val="005405CE"/>
    <w:rsid w:val="009F5C82"/>
    <w:rsid w:val="00AE43F7"/>
    <w:rsid w:val="00CF77C5"/>
    <w:rsid w:val="00ED4FD9"/>
    <w:rsid w:val="00F85690"/>
    <w:rsid w:val="06BA5973"/>
    <w:rsid w:val="0AAF55D3"/>
    <w:rsid w:val="0C4C730A"/>
    <w:rsid w:val="1EFC2D00"/>
    <w:rsid w:val="21A01963"/>
    <w:rsid w:val="2BEE65D5"/>
    <w:rsid w:val="33D9F9CB"/>
    <w:rsid w:val="34B47FF8"/>
    <w:rsid w:val="455D37C9"/>
    <w:rsid w:val="4DA53E05"/>
    <w:rsid w:val="4E4C11EE"/>
    <w:rsid w:val="54B673C8"/>
    <w:rsid w:val="5CA812CE"/>
    <w:rsid w:val="5F687A8A"/>
    <w:rsid w:val="60335341"/>
    <w:rsid w:val="736B1567"/>
    <w:rsid w:val="74973BFA"/>
    <w:rsid w:val="77D33837"/>
    <w:rsid w:val="77F77204"/>
    <w:rsid w:val="7AF7A041"/>
    <w:rsid w:val="7E2F4BFE"/>
    <w:rsid w:val="7FFDF520"/>
    <w:rsid w:val="9FD797C9"/>
    <w:rsid w:val="F77F93C3"/>
    <w:rsid w:val="F7FD2853"/>
    <w:rsid w:val="FBDB3974"/>
    <w:rsid w:val="FEFB4C23"/>
    <w:rsid w:val="FF7EF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rPr>
  </w:style>
  <w:style w:type="paragraph" w:styleId="3">
    <w:name w:val="Body Text"/>
    <w:basedOn w:val="1"/>
    <w:next w:val="4"/>
    <w:qFormat/>
    <w:uiPriority w:val="0"/>
    <w:pPr>
      <w:spacing w:after="120"/>
    </w:pPr>
  </w:style>
  <w:style w:type="paragraph" w:styleId="4">
    <w:name w:val="List Bullet 5"/>
    <w:basedOn w:val="1"/>
    <w:qFormat/>
    <w:uiPriority w:val="0"/>
    <w:pPr>
      <w:numPr>
        <w:ilvl w:val="0"/>
        <w:numId w:val="1"/>
      </w:numPr>
    </w:pPr>
  </w:style>
  <w:style w:type="paragraph" w:styleId="6">
    <w:name w:val="Body Text Indent"/>
    <w:basedOn w:val="1"/>
    <w:next w:val="7"/>
    <w:qFormat/>
    <w:uiPriority w:val="0"/>
    <w:pPr>
      <w:spacing w:after="120"/>
      <w:ind w:left="420" w:leftChars="200"/>
    </w:p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样式5"/>
    <w:basedOn w:val="3"/>
    <w:next w:val="9"/>
    <w:qFormat/>
    <w:uiPriority w:val="0"/>
    <w:pPr>
      <w:tabs>
        <w:tab w:val="left" w:pos="900"/>
      </w:tabs>
      <w:autoSpaceDE w:val="0"/>
      <w:autoSpaceDN w:val="0"/>
      <w:spacing w:line="400" w:lineRule="exact"/>
      <w:ind w:firstLine="200" w:firstLineChars="200"/>
      <w:jc w:val="left"/>
    </w:pPr>
    <w:rPr>
      <w:rFonts w:ascii="Noto Sans CJK JP Regular" w:hAnsi="Noto Sans CJK JP Regular" w:eastAsia="Noto Sans CJK JP Regular" w:cs="Noto Sans CJK JP Regular"/>
      <w:kern w:val="0"/>
      <w:sz w:val="24"/>
      <w:szCs w:val="20"/>
      <w:lang w:eastAsia="en-US"/>
    </w:rPr>
  </w:style>
  <w:style w:type="paragraph" w:styleId="9">
    <w:name w:val="endnote text"/>
    <w:basedOn w:val="1"/>
    <w:qFormat/>
    <w:uiPriority w:val="0"/>
    <w:pPr>
      <w:autoSpaceDE w:val="0"/>
      <w:autoSpaceDN w:val="0"/>
      <w:snapToGrid w:val="0"/>
      <w:jc w:val="left"/>
    </w:pPr>
    <w:rPr>
      <w:rFonts w:ascii="Noto Sans CJK JP Regular" w:hAnsi="Noto Sans CJK JP Regular" w:eastAsia="Noto Sans CJK JP Regular" w:cs="Noto Sans CJK JP Regular"/>
      <w:kern w:val="0"/>
      <w:sz w:val="22"/>
      <w:szCs w:val="22"/>
      <w:lang w:eastAsia="en-U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2">
    <w:name w:val="Body Text First Indent 2"/>
    <w:basedOn w:val="6"/>
    <w:next w:val="1"/>
    <w:qFormat/>
    <w:uiPriority w:val="0"/>
    <w:pPr>
      <w:ind w:firstLine="420"/>
    </w:pPr>
  </w:style>
  <w:style w:type="paragraph" w:customStyle="1" w:styleId="15">
    <w:name w:val="Date1"/>
    <w:basedOn w:val="1"/>
    <w:next w:val="1"/>
    <w:qFormat/>
    <w:uiPriority w:val="0"/>
    <w:rPr>
      <w:szCs w:val="20"/>
    </w:rPr>
  </w:style>
  <w:style w:type="paragraph" w:customStyle="1" w:styleId="16">
    <w:name w:val="报告书正文样式1"/>
    <w:basedOn w:val="17"/>
    <w:qFormat/>
    <w:uiPriority w:val="0"/>
    <w:pPr>
      <w:spacing w:line="360" w:lineRule="auto"/>
    </w:pPr>
    <w:rPr>
      <w:rFonts w:ascii="Arial" w:hAnsi="Arial" w:cs="Arial"/>
      <w:szCs w:val="24"/>
    </w:rPr>
  </w:style>
  <w:style w:type="paragraph" w:customStyle="1" w:styleId="1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18">
    <w:name w:val="NormalCharacter"/>
    <w:qFormat/>
    <w:uiPriority w:val="0"/>
    <w:rPr>
      <w:kern w:val="2"/>
      <w:sz w:val="32"/>
      <w:szCs w:val="32"/>
      <w:lang w:val="en-US" w:eastAsia="zh-CN" w:bidi="ar-SA"/>
    </w:rPr>
  </w:style>
  <w:style w:type="paragraph" w:customStyle="1" w:styleId="19">
    <w:name w:val="正文hks"/>
    <w:basedOn w:val="1"/>
    <w:qFormat/>
    <w:uiPriority w:val="0"/>
    <w:pPr>
      <w:spacing w:line="360" w:lineRule="auto"/>
      <w:ind w:firstLine="200" w:firstLineChars="200"/>
    </w:pPr>
    <w:rPr>
      <w:rFonts w:ascii="Calibri" w:hAnsi="Calibri" w:cs="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2669</Words>
  <Characters>2837</Characters>
  <Lines>22</Lines>
  <Paragraphs>6</Paragraphs>
  <TotalTime>6</TotalTime>
  <ScaleCrop>false</ScaleCrop>
  <LinksUpToDate>false</LinksUpToDate>
  <CharactersWithSpaces>3220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2025-12-23T01:01:00Z</dcterms:created>
  <dc:creator>Administrator</dc:creator>
  <cp:lastModifiedBy>user</cp:lastModifiedBy>
  <cp:lastPrinted>2025-11-28T02:44:00Z</cp:lastPrinted>
  <dcterms:modified xsi:type="dcterms:W3CDTF">2025-12-23T10:10:05Z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eyJoZGlkIjoiMzJlZWRmMmYzOTg3NGZiOTk5ODYyY2Q2MmI2MGQ5MGMiLCJ1c2VySWQiOiIyMDIxNjc3OTAifQ==</vt:lpwstr>
  </property>
  <property fmtid="{D5CDD505-2E9C-101B-9397-08002B2CF9AE}" pid="4" name="ICV">
    <vt:lpwstr>6C50ACB045934DEDB67F26BC944CEA65_12</vt:lpwstr>
  </property>
</Properties>
</file>