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00" w:lineRule="exact"/>
        <w:jc w:val="center"/>
        <w:rPr>
          <w:rFonts w:ascii="Times New Roman" w:hAnsi="Times New Roman" w:eastAsia="方正小标宋_GBK" w:cs="Times New Roman"/>
          <w:b w:val="0"/>
          <w:sz w:val="36"/>
          <w:szCs w:val="36"/>
        </w:rPr>
      </w:pPr>
      <w:bookmarkStart w:id="0" w:name="_Toc513987248"/>
      <w:bookmarkStart w:id="1" w:name="_Toc513987532"/>
      <w:r>
        <w:rPr>
          <w:rFonts w:ascii="Times New Roman" w:hAnsi="Times New Roman" w:eastAsia="方正小标宋_GBK" w:cs="Times New Roman"/>
          <w:b w:val="0"/>
          <w:sz w:val="36"/>
          <w:szCs w:val="36"/>
        </w:rPr>
        <w:t>薛城区 201</w:t>
      </w:r>
      <w:r>
        <w:rPr>
          <w:rFonts w:hint="eastAsia" w:ascii="Times New Roman" w:hAnsi="Times New Roman" w:eastAsia="方正小标宋_GBK" w:cs="Times New Roman"/>
          <w:b w:val="0"/>
          <w:sz w:val="36"/>
          <w:szCs w:val="36"/>
          <w:lang w:val="en-US" w:eastAsia="zh-CN"/>
        </w:rPr>
        <w:t>8</w:t>
      </w:r>
      <w:r>
        <w:rPr>
          <w:rFonts w:ascii="Times New Roman" w:hAnsi="Times New Roman" w:eastAsia="方正小标宋_GBK" w:cs="Times New Roman"/>
          <w:b w:val="0"/>
          <w:sz w:val="36"/>
          <w:szCs w:val="36"/>
        </w:rPr>
        <w:t>年国民经济和社会发展统计公报</w:t>
      </w:r>
      <w:bookmarkEnd w:id="0"/>
      <w:bookmarkEnd w:id="1"/>
    </w:p>
    <w:p>
      <w:pPr>
        <w:spacing w:line="340" w:lineRule="exact"/>
        <w:jc w:val="center"/>
        <w:rPr>
          <w:rFonts w:ascii="Times New Roman" w:hAnsi="Times New Roman" w:eastAsia="宋体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宋体" w:eastAsia="宋体" w:cs="Times New Roman"/>
          <w:sz w:val="24"/>
          <w:szCs w:val="24"/>
        </w:rPr>
        <w:t>薛城区统计局</w:t>
      </w:r>
    </w:p>
    <w:p>
      <w:pPr>
        <w:spacing w:line="340" w:lineRule="exact"/>
        <w:jc w:val="center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40" w:lineRule="exact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(201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ascii="Times New Roman" w:hAnsi="宋体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ascii="Times New Roman" w:hAnsi="宋体" w:eastAsia="宋体" w:cs="Times New Roman"/>
          <w:sz w:val="24"/>
          <w:szCs w:val="24"/>
        </w:rPr>
        <w:t>月</w:t>
      </w:r>
      <w:r>
        <w:rPr>
          <w:rFonts w:ascii="Times New Roman" w:hAnsi="Times New Roman" w:eastAsia="宋体" w:cs="Times New Roman"/>
          <w:sz w:val="24"/>
          <w:szCs w:val="24"/>
        </w:rPr>
        <w:t>28</w:t>
      </w:r>
      <w:r>
        <w:rPr>
          <w:rFonts w:ascii="Times New Roman" w:hAnsi="宋体" w:eastAsia="宋体" w:cs="Times New Roman"/>
          <w:sz w:val="24"/>
          <w:szCs w:val="24"/>
        </w:rPr>
        <w:t>日</w:t>
      </w:r>
      <w:r>
        <w:rPr>
          <w:rFonts w:ascii="Times New Roman" w:hAnsi="Times New Roman" w:eastAsia="宋体" w:cs="Times New Roman"/>
          <w:sz w:val="24"/>
          <w:szCs w:val="24"/>
        </w:rPr>
        <w:t>)</w:t>
      </w:r>
    </w:p>
    <w:p>
      <w:pPr>
        <w:spacing w:line="34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2018年是全面贯彻党的十九大精神的开局之年，全区上下深入学习习近平新时代中国特色社会主义思想，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</w:rPr>
        <w:t>坚持稳中求进总基调</w:t>
      </w:r>
      <w:r>
        <w:rPr>
          <w:rFonts w:hint="eastAsia" w:ascii="仿宋" w:hAnsi="仿宋" w:eastAsia="仿宋" w:cs="仿宋"/>
          <w:i w:val="0"/>
          <w:caps w:val="0"/>
          <w:color w:val="2B2B2B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着力抓好招商引资和项目建设，积极培育经济新增长点，人民生活持续改善，经济和社会事业保持平稳健康发展，呈现“稳、进、好”的态势。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一、综合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人口保持稳定。年末全区公安户籍总人口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48.52</w:t>
      </w:r>
      <w:r>
        <w:rPr>
          <w:rFonts w:hint="eastAsia" w:ascii="仿宋" w:hAnsi="仿宋" w:eastAsia="仿宋" w:cs="仿宋"/>
          <w:sz w:val="32"/>
          <w:szCs w:val="32"/>
        </w:rPr>
        <w:t>万人，其中男性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28.25</w:t>
      </w:r>
      <w:r>
        <w:rPr>
          <w:rFonts w:hint="eastAsia" w:ascii="仿宋" w:hAnsi="仿宋" w:eastAsia="仿宋" w:cs="仿宋"/>
          <w:sz w:val="32"/>
          <w:szCs w:val="32"/>
        </w:rPr>
        <w:t>万人，女性2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万人。按年龄构成分，18岁以下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11.55</w:t>
      </w:r>
      <w:r>
        <w:rPr>
          <w:rFonts w:hint="eastAsia" w:ascii="仿宋" w:hAnsi="仿宋" w:eastAsia="仿宋" w:cs="仿宋"/>
          <w:sz w:val="32"/>
          <w:szCs w:val="32"/>
        </w:rPr>
        <w:t>万人，18-60岁28.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</w:t>
      </w:r>
      <w:r>
        <w:rPr>
          <w:rFonts w:hint="eastAsia" w:ascii="仿宋" w:hAnsi="仿宋" w:eastAsia="仿宋" w:cs="仿宋"/>
          <w:sz w:val="32"/>
          <w:szCs w:val="32"/>
        </w:rPr>
        <w:t>万人，60岁以上8.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"/>
          <w:sz w:val="32"/>
          <w:szCs w:val="32"/>
        </w:rPr>
        <w:t>万人。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出生率13.6‰，死亡率4.4‰，自然增长率9.2‰。</w:t>
      </w:r>
      <w:r>
        <w:rPr>
          <w:rFonts w:hint="eastAsia" w:ascii="仿宋" w:hAnsi="仿宋" w:eastAsia="仿宋" w:cs="仿宋"/>
          <w:sz w:val="32"/>
          <w:szCs w:val="32"/>
        </w:rPr>
        <w:t>全区常驻人口47.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万人，城镇化率达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</w:t>
      </w:r>
      <w:r>
        <w:rPr>
          <w:rFonts w:hint="eastAsia" w:ascii="仿宋" w:hAnsi="仿宋" w:eastAsia="仿宋" w:cs="仿宋"/>
          <w:sz w:val="32"/>
          <w:szCs w:val="32"/>
        </w:rPr>
        <w:t>%，较上年提高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3.45</w:t>
      </w:r>
      <w:r>
        <w:rPr>
          <w:rFonts w:hint="eastAsia" w:ascii="仿宋" w:hAnsi="仿宋" w:eastAsia="仿宋" w:cs="仿宋"/>
          <w:sz w:val="32"/>
          <w:szCs w:val="32"/>
        </w:rPr>
        <w:t>个百分点。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经济运行平稳。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初步核算并经市统计局核定，201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年，全区实现生产总值(GDP)3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37.86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亿元，按可比价格计算增长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%。其中，第一产业增加值: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13.74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%；第二产业增加值18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%；第三产业增加值1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37.01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%。三次产业比由4.6：56.4：39调整为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4.0:55.4:40.6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，人均GDP达到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70926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元。</w:t>
      </w:r>
    </w:p>
    <w:p>
      <w:pPr>
        <w:overflowPunct w:val="0"/>
        <w:spacing w:line="340" w:lineRule="exact"/>
        <w:ind w:firstLine="640" w:firstLineChars="200"/>
        <w:jc w:val="center"/>
        <w:rPr>
          <w:rFonts w:ascii="Times New Roman" w:hAnsi="宋体" w:eastAsia="宋体" w:cs="Times New Roman"/>
          <w:sz w:val="32"/>
          <w:szCs w:val="32"/>
          <w:highlight w:val="yellow"/>
        </w:rPr>
      </w:pPr>
      <w:r>
        <w:rPr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490220</wp:posOffset>
            </wp:positionH>
            <wp:positionV relativeFrom="paragraph">
              <wp:posOffset>104140</wp:posOffset>
            </wp:positionV>
            <wp:extent cx="5369560" cy="2608580"/>
            <wp:effectExtent l="4445" t="5080" r="17145" b="15240"/>
            <wp:wrapNone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overflowPunct w:val="0"/>
        <w:spacing w:line="340" w:lineRule="exact"/>
        <w:ind w:firstLine="640" w:firstLineChars="200"/>
        <w:jc w:val="center"/>
        <w:rPr>
          <w:rFonts w:ascii="Times New Roman" w:hAnsi="宋体" w:eastAsia="宋体" w:cs="Times New Roman"/>
          <w:sz w:val="32"/>
          <w:szCs w:val="32"/>
          <w:highlight w:val="yellow"/>
        </w:rPr>
      </w:pPr>
    </w:p>
    <w:p>
      <w:pPr>
        <w:overflowPunct w:val="0"/>
        <w:spacing w:line="340" w:lineRule="exact"/>
        <w:ind w:firstLine="640" w:firstLineChars="200"/>
        <w:jc w:val="center"/>
        <w:rPr>
          <w:rFonts w:ascii="Times New Roman" w:hAnsi="宋体" w:eastAsia="宋体" w:cs="Times New Roman"/>
          <w:sz w:val="32"/>
          <w:szCs w:val="32"/>
          <w:highlight w:val="yellow"/>
        </w:rPr>
      </w:pPr>
    </w:p>
    <w:p>
      <w:pPr>
        <w:overflowPunct w:val="0"/>
        <w:spacing w:line="340" w:lineRule="exact"/>
        <w:ind w:firstLine="640" w:firstLineChars="200"/>
        <w:jc w:val="center"/>
        <w:rPr>
          <w:rFonts w:ascii="Times New Roman" w:hAnsi="宋体" w:eastAsia="宋体" w:cs="Times New Roman"/>
          <w:sz w:val="32"/>
          <w:szCs w:val="32"/>
          <w:highlight w:val="yellow"/>
        </w:rPr>
      </w:pPr>
    </w:p>
    <w:p>
      <w:pPr>
        <w:overflowPunct w:val="0"/>
        <w:spacing w:line="340" w:lineRule="exact"/>
        <w:ind w:firstLine="640" w:firstLineChars="200"/>
        <w:jc w:val="center"/>
        <w:rPr>
          <w:rFonts w:ascii="Times New Roman" w:hAnsi="宋体" w:eastAsia="宋体" w:cs="Times New Roman"/>
          <w:sz w:val="32"/>
          <w:szCs w:val="32"/>
          <w:highlight w:val="yellow"/>
        </w:rPr>
      </w:pPr>
    </w:p>
    <w:p>
      <w:pPr>
        <w:overflowPunct w:val="0"/>
        <w:spacing w:line="340" w:lineRule="exact"/>
        <w:ind w:firstLine="640" w:firstLineChars="200"/>
        <w:jc w:val="center"/>
        <w:rPr>
          <w:rFonts w:ascii="Times New Roman" w:hAnsi="宋体" w:eastAsia="宋体" w:cs="Times New Roman"/>
          <w:sz w:val="32"/>
          <w:szCs w:val="32"/>
          <w:highlight w:val="yellow"/>
        </w:rPr>
      </w:pPr>
    </w:p>
    <w:p>
      <w:pPr>
        <w:overflowPunct w:val="0"/>
        <w:spacing w:line="340" w:lineRule="exact"/>
        <w:ind w:firstLine="640" w:firstLineChars="200"/>
        <w:jc w:val="center"/>
        <w:rPr>
          <w:rFonts w:ascii="Times New Roman" w:hAnsi="宋体" w:eastAsia="宋体" w:cs="Times New Roman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宋体" w:eastAsia="宋体" w:cs="Times New Roman"/>
          <w:sz w:val="32"/>
          <w:szCs w:val="32"/>
          <w:highlight w:val="yellow"/>
        </w:rPr>
      </w:pPr>
    </w:p>
    <w:p>
      <w:pPr>
        <w:overflowPunct w:val="0"/>
        <w:spacing w:line="340" w:lineRule="exact"/>
        <w:ind w:firstLine="640" w:firstLineChars="200"/>
        <w:jc w:val="center"/>
        <w:rPr>
          <w:sz w:val="32"/>
          <w:szCs w:val="32"/>
        </w:rPr>
      </w:pPr>
    </w:p>
    <w:p>
      <w:pPr>
        <w:overflowPunct w:val="0"/>
        <w:spacing w:line="340" w:lineRule="exact"/>
        <w:ind w:firstLine="640" w:firstLineChars="200"/>
        <w:jc w:val="center"/>
        <w:rPr>
          <w:sz w:val="32"/>
          <w:szCs w:val="32"/>
        </w:rPr>
      </w:pPr>
    </w:p>
    <w:p>
      <w:pPr>
        <w:overflowPunct w:val="0"/>
        <w:spacing w:line="340" w:lineRule="exact"/>
        <w:ind w:firstLine="640" w:firstLineChars="200"/>
        <w:jc w:val="center"/>
        <w:rPr>
          <w:sz w:val="32"/>
          <w:szCs w:val="32"/>
        </w:rPr>
      </w:pPr>
    </w:p>
    <w:p>
      <w:pPr>
        <w:overflowPunct w:val="0"/>
        <w:spacing w:line="340" w:lineRule="exact"/>
        <w:ind w:firstLine="640" w:firstLineChars="200"/>
        <w:jc w:val="center"/>
        <w:rPr>
          <w:sz w:val="32"/>
          <w:szCs w:val="32"/>
        </w:rPr>
      </w:pPr>
    </w:p>
    <w:p>
      <w:pPr>
        <w:overflowPunct w:val="0"/>
        <w:spacing w:line="340" w:lineRule="exact"/>
        <w:ind w:firstLine="640" w:firstLineChars="200"/>
        <w:jc w:val="center"/>
        <w:rPr>
          <w:sz w:val="32"/>
          <w:szCs w:val="32"/>
        </w:rPr>
      </w:pPr>
    </w:p>
    <w:p>
      <w:pPr>
        <w:overflowPunct w:val="0"/>
        <w:spacing w:line="340" w:lineRule="exact"/>
        <w:ind w:firstLine="640" w:firstLineChars="200"/>
        <w:jc w:val="center"/>
        <w:rPr>
          <w:sz w:val="32"/>
          <w:szCs w:val="32"/>
        </w:rPr>
      </w:pPr>
    </w:p>
    <w:p>
      <w:pPr>
        <w:overflowPunct w:val="0"/>
        <w:spacing w:line="340" w:lineRule="exact"/>
        <w:ind w:firstLine="640" w:firstLineChars="200"/>
        <w:jc w:val="center"/>
        <w:rPr>
          <w:sz w:val="32"/>
          <w:szCs w:val="32"/>
        </w:rPr>
      </w:pPr>
    </w:p>
    <w:p>
      <w:pPr>
        <w:overflowPunct w:val="0"/>
        <w:spacing w:line="340" w:lineRule="exact"/>
        <w:rPr>
          <w:sz w:val="32"/>
          <w:szCs w:val="32"/>
        </w:rPr>
      </w:pPr>
    </w:p>
    <w:p>
      <w:pPr>
        <w:overflowPunct w:val="0"/>
        <w:spacing w:line="340" w:lineRule="exact"/>
        <w:rPr>
          <w:sz w:val="32"/>
          <w:szCs w:val="32"/>
        </w:rPr>
      </w:pPr>
    </w:p>
    <w:p>
      <w:pPr>
        <w:overflowPunct w:val="0"/>
        <w:spacing w:line="340" w:lineRule="exact"/>
        <w:rPr>
          <w:sz w:val="32"/>
          <w:szCs w:val="32"/>
        </w:rPr>
      </w:pPr>
    </w:p>
    <w:p>
      <w:pPr>
        <w:overflowPunct w:val="0"/>
        <w:spacing w:line="340" w:lineRule="exact"/>
        <w:rPr>
          <w:sz w:val="32"/>
          <w:szCs w:val="32"/>
        </w:rPr>
      </w:pPr>
    </w:p>
    <w:p>
      <w:pPr>
        <w:overflowPunct w:val="0"/>
        <w:spacing w:line="340" w:lineRule="exact"/>
        <w:rPr>
          <w:sz w:val="32"/>
          <w:szCs w:val="32"/>
        </w:rPr>
      </w:pPr>
    </w:p>
    <w:p>
      <w:pPr>
        <w:overflowPunct w:val="0"/>
        <w:spacing w:line="340" w:lineRule="exact"/>
        <w:rPr>
          <w:sz w:val="32"/>
          <w:szCs w:val="32"/>
        </w:rPr>
      </w:pPr>
    </w:p>
    <w:p>
      <w:pPr>
        <w:overflowPunct w:val="0"/>
        <w:spacing w:line="340" w:lineRule="exact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993140</wp:posOffset>
            </wp:positionH>
            <wp:positionV relativeFrom="paragraph">
              <wp:posOffset>96520</wp:posOffset>
            </wp:positionV>
            <wp:extent cx="4224020" cy="2077085"/>
            <wp:effectExtent l="5080" t="4445" r="19050" b="13970"/>
            <wp:wrapNone/>
            <wp:docPr id="8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>
      <w:pPr>
        <w:overflowPunct w:val="0"/>
        <w:spacing w:line="340" w:lineRule="exact"/>
        <w:rPr>
          <w:sz w:val="32"/>
          <w:szCs w:val="32"/>
        </w:rPr>
      </w:pPr>
    </w:p>
    <w:p>
      <w:pPr>
        <w:overflowPunct w:val="0"/>
        <w:spacing w:line="340" w:lineRule="exact"/>
        <w:rPr>
          <w:rFonts w:ascii="Times New Roman" w:hAnsi="Times New Roman" w:eastAsia="宋体" w:cs="Times New Roman"/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2807335" cy="1684020"/>
            <wp:effectExtent l="4445" t="4445" r="1779270" b="107378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就业工作成效显著。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全年城镇新增就业再就业5739人，其中下岗失业再就业1983人，城镇登记失业率2.3%。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 w:firstLine="672" w:firstLineChars="200"/>
        <w:jc w:val="left"/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8"/>
          <w:sz w:val="32"/>
          <w:szCs w:val="32"/>
          <w:shd w:val="clear" w:fill="FFFFFF"/>
        </w:rPr>
        <w:t>物价温和上涨。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8"/>
          <w:sz w:val="32"/>
          <w:szCs w:val="32"/>
          <w:shd w:val="clear" w:fill="FFFFFF"/>
        </w:rPr>
        <w:t>居民消费价格比上年上涨1.7%，其中，服务项目价格上涨0.9%；消费品价格上涨2.2%。工业生产者出厂价格上涨9.0%，其中，生产资料价格上涨10.7%；生活资料价格上涨0.7%。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="仿宋" w:hAnsi="仿宋" w:eastAsia="仿宋" w:cs="仿宋"/>
          <w:kern w:val="0"/>
          <w:sz w:val="32"/>
          <w:szCs w:val="32"/>
          <w:lang w:val="en-US" w:eastAsia="zh-CN" w:bidi="ar"/>
        </w:rPr>
        <w:t>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1：  2018年居民消费价格指数（以上年为100）</w:t>
      </w:r>
    </w:p>
    <w:tbl>
      <w:tblPr>
        <w:tblStyle w:val="18"/>
        <w:tblW w:w="6885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1"/>
        <w:gridCol w:w="2124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指   标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2018年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居民消费价格总指数</w:t>
            </w:r>
          </w:p>
        </w:tc>
        <w:tc>
          <w:tcPr>
            <w:tcW w:w="212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60"/>
              <w:jc w:val="left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101.7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60"/>
              <w:jc w:val="left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食品烟酒</w:t>
            </w:r>
          </w:p>
        </w:tc>
        <w:tc>
          <w:tcPr>
            <w:tcW w:w="212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60"/>
              <w:jc w:val="left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102.3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60"/>
              <w:jc w:val="left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衣着</w:t>
            </w:r>
          </w:p>
        </w:tc>
        <w:tc>
          <w:tcPr>
            <w:tcW w:w="212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60"/>
              <w:jc w:val="left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101.6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60"/>
              <w:jc w:val="left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居住</w:t>
            </w:r>
          </w:p>
        </w:tc>
        <w:tc>
          <w:tcPr>
            <w:tcW w:w="212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60"/>
              <w:jc w:val="left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100.6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60"/>
              <w:jc w:val="left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生活用品及服务</w:t>
            </w:r>
          </w:p>
        </w:tc>
        <w:tc>
          <w:tcPr>
            <w:tcW w:w="212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60"/>
              <w:jc w:val="left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102.7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60"/>
              <w:jc w:val="left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交通和通信</w:t>
            </w:r>
          </w:p>
        </w:tc>
        <w:tc>
          <w:tcPr>
            <w:tcW w:w="212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60"/>
              <w:jc w:val="left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101.8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60"/>
              <w:jc w:val="left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教育文化和娱乐</w:t>
            </w:r>
          </w:p>
        </w:tc>
        <w:tc>
          <w:tcPr>
            <w:tcW w:w="212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60"/>
              <w:jc w:val="left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102.2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60"/>
              <w:jc w:val="left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医疗保健</w:t>
            </w:r>
          </w:p>
        </w:tc>
        <w:tc>
          <w:tcPr>
            <w:tcW w:w="212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60"/>
              <w:jc w:val="left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101.2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60"/>
              <w:jc w:val="left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其他用品和服务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60"/>
              <w:jc w:val="left"/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 w:bidi="ar"/>
              </w:rPr>
              <w:t>100.3</w:t>
            </w:r>
          </w:p>
        </w:tc>
      </w:tr>
    </w:tbl>
    <w:p>
      <w:pPr>
        <w:numPr>
          <w:ilvl w:val="0"/>
          <w:numId w:val="0"/>
        </w:numPr>
        <w:overflowPunct w:val="0"/>
        <w:spacing w:line="340" w:lineRule="exact"/>
        <w:rPr>
          <w:rFonts w:ascii="Times New Roman" w:hAnsi="黑体" w:eastAsia="黑体" w:cs="Times New Roman"/>
          <w:sz w:val="44"/>
          <w:szCs w:val="44"/>
        </w:rPr>
      </w:pPr>
    </w:p>
    <w:p>
      <w:pPr>
        <w:numPr>
          <w:ilvl w:val="0"/>
          <w:numId w:val="0"/>
        </w:numPr>
        <w:overflowPunct w:val="0"/>
        <w:spacing w:line="340" w:lineRule="exact"/>
        <w:rPr>
          <w:rFonts w:ascii="Times New Roman" w:hAnsi="黑体" w:eastAsia="黑体" w:cs="Times New Roman"/>
          <w:sz w:val="44"/>
          <w:szCs w:val="44"/>
        </w:rPr>
      </w:pPr>
    </w:p>
    <w:p>
      <w:pPr>
        <w:numPr>
          <w:ilvl w:val="0"/>
          <w:numId w:val="0"/>
        </w:numPr>
        <w:overflowPunct w:val="0"/>
        <w:spacing w:line="340" w:lineRule="exact"/>
        <w:rPr>
          <w:rFonts w:ascii="Times New Roman" w:hAnsi="黑体" w:eastAsia="黑体" w:cs="Times New Roman"/>
          <w:sz w:val="44"/>
          <w:szCs w:val="44"/>
        </w:rPr>
      </w:pPr>
    </w:p>
    <w:p>
      <w:pPr>
        <w:numPr>
          <w:ilvl w:val="0"/>
          <w:numId w:val="0"/>
        </w:numPr>
        <w:overflowPunct w:val="0"/>
        <w:spacing w:line="340" w:lineRule="exact"/>
        <w:rPr>
          <w:rFonts w:ascii="Times New Roman" w:hAnsi="黑体" w:eastAsia="黑体" w:cs="Times New Roman"/>
          <w:sz w:val="44"/>
          <w:szCs w:val="44"/>
        </w:rPr>
      </w:pPr>
    </w:p>
    <w:p>
      <w:pPr>
        <w:numPr>
          <w:ilvl w:val="0"/>
          <w:numId w:val="0"/>
        </w:numPr>
        <w:overflowPunct w:val="0"/>
        <w:spacing w:line="340" w:lineRule="exact"/>
        <w:rPr>
          <w:rFonts w:ascii="Times New Roman" w:hAnsi="黑体" w:eastAsia="黑体" w:cs="Times New Roman"/>
          <w:sz w:val="44"/>
          <w:szCs w:val="44"/>
        </w:rPr>
      </w:pPr>
    </w:p>
    <w:p>
      <w:pPr>
        <w:numPr>
          <w:ilvl w:val="0"/>
          <w:numId w:val="0"/>
        </w:numPr>
        <w:overflowPunct w:val="0"/>
        <w:spacing w:line="340" w:lineRule="exact"/>
        <w:ind w:firstLine="880" w:firstLineChars="200"/>
        <w:rPr>
          <w:rFonts w:ascii="Times New Roman" w:hAnsi="黑体" w:eastAsia="黑体" w:cs="Times New Roman"/>
          <w:sz w:val="44"/>
          <w:szCs w:val="44"/>
        </w:rPr>
      </w:pPr>
      <w:r>
        <w:rPr>
          <w:rFonts w:hint="eastAsia" w:ascii="Times New Roman" w:hAnsi="黑体" w:eastAsia="黑体" w:cs="Times New Roman"/>
          <w:sz w:val="44"/>
          <w:szCs w:val="44"/>
          <w:lang w:eastAsia="zh-CN"/>
        </w:rPr>
        <w:t>二、</w:t>
      </w:r>
      <w:r>
        <w:rPr>
          <w:rFonts w:ascii="Times New Roman" w:hAnsi="黑体" w:eastAsia="黑体" w:cs="Times New Roman"/>
          <w:sz w:val="44"/>
          <w:szCs w:val="44"/>
        </w:rPr>
        <w:t>农林牧渔业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农业生产形势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除种植业较好，林牧渔业生产形势下滑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。农业增加值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10.66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亿元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%；林业增加值0.2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%；牧业增加值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%；渔业增加值0.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亿元，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农产品产量稳定。粮食作物种植面积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56.7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万亩，总产量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21.85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万吨，单产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385.4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公斤/亩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（粮食数据为调查队反馈的大薛城数据）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；人工造林面积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亩；肉类总产量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万吨，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%；水产品产量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965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吨，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17.2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</w:p>
    <w:p>
      <w:pPr>
        <w:ind w:firstLine="640" w:firstLineChars="200"/>
        <w:jc w:val="center"/>
        <w:rPr>
          <w:rFonts w:hint="eastAsia" w:eastAsia="仿宋_GB2312"/>
          <w:sz w:val="32"/>
          <w:szCs w:val="32"/>
        </w:rPr>
      </w:pPr>
    </w:p>
    <w:p>
      <w:pPr>
        <w:ind w:firstLine="640" w:firstLineChars="200"/>
        <w:jc w:val="center"/>
        <w:rPr>
          <w:rFonts w:hint="eastAsia" w:eastAsia="仿宋_GB2312"/>
          <w:sz w:val="32"/>
          <w:szCs w:val="32"/>
        </w:rPr>
      </w:pPr>
    </w:p>
    <w:p>
      <w:pPr>
        <w:ind w:firstLine="640" w:firstLineChars="200"/>
        <w:jc w:val="center"/>
        <w:rPr>
          <w:rFonts w:hint="eastAsia" w:eastAsia="仿宋_GB2312"/>
          <w:sz w:val="32"/>
          <w:szCs w:val="32"/>
        </w:rPr>
      </w:pPr>
    </w:p>
    <w:p>
      <w:pPr>
        <w:ind w:firstLine="640" w:firstLineChars="200"/>
        <w:jc w:val="center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表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：主要农产品产</w:t>
      </w:r>
      <w:r>
        <w:rPr>
          <w:rFonts w:hint="eastAsia" w:eastAsia="仿宋_GB2312"/>
          <w:sz w:val="32"/>
          <w:szCs w:val="32"/>
          <w:lang w:eastAsia="zh-CN"/>
        </w:rPr>
        <w:t>量</w:t>
      </w:r>
    </w:p>
    <w:tbl>
      <w:tblPr>
        <w:tblStyle w:val="18"/>
        <w:tblpPr w:leftFromText="180" w:rightFromText="180" w:vertAnchor="text" w:horzAnchor="margin" w:tblpXSpec="center" w:tblpY="798"/>
        <w:tblOverlap w:val="never"/>
        <w:tblW w:w="670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675"/>
        <w:gridCol w:w="2001"/>
        <w:gridCol w:w="135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7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产品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产量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比上年增长（</w:t>
            </w:r>
            <w:r>
              <w:rPr>
                <w:rFonts w:eastAsia="仿宋_GB2312"/>
                <w:kern w:val="0"/>
                <w:sz w:val="28"/>
                <w:szCs w:val="28"/>
              </w:rPr>
              <w:t>%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75" w:type="dxa"/>
            <w:tcBorders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粮食</w:t>
            </w:r>
          </w:p>
        </w:tc>
        <w:tc>
          <w:tcPr>
            <w:tcW w:w="1675" w:type="dxa"/>
            <w:tcBorders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2001" w:type="dxa"/>
            <w:tcBorders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21.85大薛城</w:t>
            </w:r>
          </w:p>
        </w:tc>
        <w:tc>
          <w:tcPr>
            <w:tcW w:w="1351" w:type="dxa"/>
            <w:tcBorders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棉花</w:t>
            </w:r>
          </w:p>
        </w:tc>
        <w:tc>
          <w:tcPr>
            <w:tcW w:w="16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20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21.7</w:t>
            </w:r>
          </w:p>
        </w:tc>
        <w:tc>
          <w:tcPr>
            <w:tcW w:w="13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油料</w:t>
            </w:r>
          </w:p>
        </w:tc>
        <w:tc>
          <w:tcPr>
            <w:tcW w:w="16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20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4671</w:t>
            </w:r>
          </w:p>
        </w:tc>
        <w:tc>
          <w:tcPr>
            <w:tcW w:w="13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蔬菜</w:t>
            </w:r>
          </w:p>
        </w:tc>
        <w:tc>
          <w:tcPr>
            <w:tcW w:w="16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20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瓜类</w:t>
            </w:r>
          </w:p>
        </w:tc>
        <w:tc>
          <w:tcPr>
            <w:tcW w:w="16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20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13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园林水果</w:t>
            </w:r>
          </w:p>
        </w:tc>
        <w:tc>
          <w:tcPr>
            <w:tcW w:w="16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20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生猪出栏</w:t>
            </w:r>
          </w:p>
        </w:tc>
        <w:tc>
          <w:tcPr>
            <w:tcW w:w="16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万头</w:t>
            </w:r>
          </w:p>
        </w:tc>
        <w:tc>
          <w:tcPr>
            <w:tcW w:w="20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12.2</w:t>
            </w:r>
          </w:p>
        </w:tc>
        <w:tc>
          <w:tcPr>
            <w:tcW w:w="13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家禽出栏</w:t>
            </w:r>
          </w:p>
        </w:tc>
        <w:tc>
          <w:tcPr>
            <w:tcW w:w="16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万只</w:t>
            </w:r>
          </w:p>
        </w:tc>
        <w:tc>
          <w:tcPr>
            <w:tcW w:w="20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228.2</w:t>
            </w:r>
          </w:p>
        </w:tc>
        <w:tc>
          <w:tcPr>
            <w:tcW w:w="13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肉类</w:t>
            </w:r>
          </w:p>
        </w:tc>
        <w:tc>
          <w:tcPr>
            <w:tcW w:w="16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万吨</w:t>
            </w:r>
          </w:p>
        </w:tc>
        <w:tc>
          <w:tcPr>
            <w:tcW w:w="20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3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禽蛋</w:t>
            </w:r>
          </w:p>
        </w:tc>
        <w:tc>
          <w:tcPr>
            <w:tcW w:w="16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20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8670</w:t>
            </w:r>
          </w:p>
        </w:tc>
        <w:tc>
          <w:tcPr>
            <w:tcW w:w="13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-13.2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奶类</w:t>
            </w:r>
          </w:p>
        </w:tc>
        <w:tc>
          <w:tcPr>
            <w:tcW w:w="1675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200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135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-9.2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75" w:type="dxa"/>
            <w:tcBorders>
              <w:top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水产品</w:t>
            </w:r>
          </w:p>
        </w:tc>
        <w:tc>
          <w:tcPr>
            <w:tcW w:w="1675" w:type="dxa"/>
            <w:tcBorders>
              <w:top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2001" w:type="dxa"/>
            <w:tcBorders>
              <w:top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965</w:t>
            </w:r>
          </w:p>
        </w:tc>
        <w:tc>
          <w:tcPr>
            <w:tcW w:w="1351" w:type="dxa"/>
            <w:tcBorders>
              <w:top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-17.2</w:t>
            </w:r>
          </w:p>
        </w:tc>
      </w:tr>
    </w:tbl>
    <w:p>
      <w:pPr>
        <w:spacing w:line="560" w:lineRule="exact"/>
        <w:ind w:firstLine="420" w:firstLineChars="200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420" w:firstLineChars="200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420" w:firstLineChars="200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420" w:firstLineChars="200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420" w:firstLineChars="200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420" w:firstLineChars="200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overflowPunct w:val="0"/>
        <w:spacing w:line="340" w:lineRule="exact"/>
        <w:rPr>
          <w:rFonts w:ascii="Times New Roman" w:hAnsi="黑体" w:eastAsia="黑体" w:cs="Times New Roman"/>
          <w:szCs w:val="21"/>
        </w:rPr>
      </w:pPr>
    </w:p>
    <w:p>
      <w:pPr>
        <w:numPr>
          <w:ilvl w:val="0"/>
          <w:numId w:val="0"/>
        </w:numPr>
        <w:overflowPunct w:val="0"/>
        <w:spacing w:line="340" w:lineRule="exact"/>
        <w:ind w:leftChars="200"/>
        <w:rPr>
          <w:rFonts w:ascii="Times New Roman" w:hAnsi="黑体" w:eastAsia="黑体" w:cs="Times New Roman"/>
          <w:szCs w:val="21"/>
        </w:rPr>
      </w:pPr>
    </w:p>
    <w:p>
      <w:pPr>
        <w:numPr>
          <w:ilvl w:val="0"/>
          <w:numId w:val="0"/>
        </w:numPr>
        <w:overflowPunct w:val="0"/>
        <w:spacing w:line="340" w:lineRule="exact"/>
        <w:ind w:leftChars="200"/>
        <w:rPr>
          <w:rFonts w:ascii="Times New Roman" w:hAnsi="黑体" w:eastAsia="黑体" w:cs="Times New Roman"/>
          <w:szCs w:val="21"/>
        </w:rPr>
      </w:pPr>
    </w:p>
    <w:p>
      <w:pPr>
        <w:numPr>
          <w:ilvl w:val="0"/>
          <w:numId w:val="0"/>
        </w:numPr>
        <w:overflowPunct w:val="0"/>
        <w:spacing w:line="340" w:lineRule="exact"/>
        <w:ind w:leftChars="200"/>
        <w:rPr>
          <w:rFonts w:ascii="Times New Roman" w:hAnsi="黑体" w:eastAsia="黑体" w:cs="Times New Roman"/>
          <w:szCs w:val="21"/>
        </w:rPr>
      </w:pPr>
    </w:p>
    <w:p>
      <w:pPr>
        <w:numPr>
          <w:ilvl w:val="0"/>
          <w:numId w:val="0"/>
        </w:numPr>
        <w:overflowPunct w:val="0"/>
        <w:spacing w:line="340" w:lineRule="exact"/>
        <w:ind w:leftChars="200"/>
        <w:rPr>
          <w:rFonts w:ascii="Times New Roman" w:hAnsi="黑体" w:eastAsia="黑体" w:cs="Times New Roman"/>
          <w:szCs w:val="21"/>
        </w:rPr>
      </w:pPr>
    </w:p>
    <w:p>
      <w:pPr>
        <w:numPr>
          <w:ilvl w:val="0"/>
          <w:numId w:val="0"/>
        </w:numPr>
        <w:overflowPunct w:val="0"/>
        <w:spacing w:line="340" w:lineRule="exact"/>
        <w:ind w:leftChars="200"/>
        <w:rPr>
          <w:rFonts w:ascii="Times New Roman" w:hAnsi="黑体" w:eastAsia="黑体" w:cs="Times New Roman"/>
          <w:szCs w:val="21"/>
        </w:rPr>
      </w:pPr>
    </w:p>
    <w:p>
      <w:pPr>
        <w:numPr>
          <w:ilvl w:val="0"/>
          <w:numId w:val="0"/>
        </w:numPr>
        <w:overflowPunct w:val="0"/>
        <w:spacing w:line="340" w:lineRule="exact"/>
        <w:ind w:leftChars="200"/>
        <w:rPr>
          <w:rFonts w:ascii="Times New Roman" w:hAnsi="黑体" w:eastAsia="黑体" w:cs="Times New Roman"/>
          <w:szCs w:val="21"/>
        </w:rPr>
      </w:pPr>
    </w:p>
    <w:p>
      <w:pPr>
        <w:numPr>
          <w:ilvl w:val="0"/>
          <w:numId w:val="0"/>
        </w:numPr>
        <w:overflowPunct w:val="0"/>
        <w:spacing w:line="340" w:lineRule="exact"/>
        <w:ind w:leftChars="200"/>
        <w:rPr>
          <w:rFonts w:ascii="Times New Roman" w:hAnsi="黑体" w:eastAsia="黑体" w:cs="Times New Roman"/>
          <w:szCs w:val="21"/>
        </w:rPr>
      </w:pPr>
    </w:p>
    <w:p>
      <w:pPr>
        <w:numPr>
          <w:ilvl w:val="0"/>
          <w:numId w:val="0"/>
        </w:numPr>
        <w:overflowPunct w:val="0"/>
        <w:spacing w:line="340" w:lineRule="exact"/>
        <w:ind w:leftChars="200"/>
        <w:rPr>
          <w:rFonts w:ascii="Times New Roman" w:hAnsi="黑体" w:eastAsia="黑体" w:cs="Times New Roman"/>
          <w:szCs w:val="21"/>
        </w:rPr>
      </w:pPr>
    </w:p>
    <w:p>
      <w:pPr>
        <w:numPr>
          <w:ilvl w:val="0"/>
          <w:numId w:val="0"/>
        </w:numPr>
        <w:overflowPunct w:val="0"/>
        <w:spacing w:line="340" w:lineRule="exact"/>
        <w:ind w:leftChars="200"/>
        <w:rPr>
          <w:rFonts w:ascii="Times New Roman" w:hAnsi="黑体" w:eastAsia="黑体" w:cs="Times New Roman"/>
          <w:szCs w:val="21"/>
        </w:rPr>
      </w:pPr>
    </w:p>
    <w:p>
      <w:pPr>
        <w:numPr>
          <w:ilvl w:val="0"/>
          <w:numId w:val="0"/>
        </w:numPr>
        <w:overflowPunct w:val="0"/>
        <w:spacing w:line="340" w:lineRule="exact"/>
        <w:ind w:leftChars="200"/>
        <w:rPr>
          <w:rFonts w:ascii="Times New Roman" w:hAnsi="黑体" w:eastAsia="黑体" w:cs="Times New Roman"/>
          <w:szCs w:val="21"/>
        </w:rPr>
      </w:pPr>
    </w:p>
    <w:p>
      <w:pPr>
        <w:numPr>
          <w:ilvl w:val="0"/>
          <w:numId w:val="0"/>
        </w:numPr>
        <w:overflowPunct w:val="0"/>
        <w:spacing w:line="340" w:lineRule="exact"/>
        <w:ind w:leftChars="200"/>
        <w:rPr>
          <w:rFonts w:ascii="Times New Roman" w:hAnsi="黑体" w:eastAsia="黑体" w:cs="Times New Roman"/>
          <w:szCs w:val="21"/>
        </w:rPr>
      </w:pPr>
    </w:p>
    <w:p>
      <w:pPr>
        <w:numPr>
          <w:ilvl w:val="0"/>
          <w:numId w:val="0"/>
        </w:numPr>
        <w:overflowPunct w:val="0"/>
        <w:spacing w:line="340" w:lineRule="exact"/>
        <w:ind w:leftChars="200"/>
        <w:rPr>
          <w:rFonts w:ascii="Times New Roman" w:hAnsi="黑体" w:eastAsia="黑体" w:cs="Times New Roman"/>
          <w:szCs w:val="21"/>
        </w:rPr>
      </w:pPr>
    </w:p>
    <w:p>
      <w:pPr>
        <w:numPr>
          <w:ilvl w:val="0"/>
          <w:numId w:val="0"/>
        </w:numPr>
        <w:overflowPunct w:val="0"/>
        <w:spacing w:line="340" w:lineRule="exact"/>
        <w:ind w:leftChars="200"/>
        <w:rPr>
          <w:rFonts w:ascii="Times New Roman" w:hAnsi="黑体" w:eastAsia="黑体" w:cs="Times New Roman"/>
          <w:szCs w:val="21"/>
        </w:rPr>
      </w:pPr>
    </w:p>
    <w:p>
      <w:pPr>
        <w:pStyle w:val="7"/>
        <w:ind w:firstLine="640" w:firstLineChars="200"/>
        <w:rPr>
          <w:rFonts w:hint="eastAsia" w:ascii="黑体" w:eastAsia="黑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7"/>
        <w:ind w:firstLine="640" w:firstLineChars="200"/>
        <w:rPr>
          <w:rFonts w:hint="eastAsia" w:ascii="黑体" w:eastAsia="黑体" w:cs="宋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三、工业</w:t>
      </w:r>
    </w:p>
    <w:p>
      <w:pPr>
        <w:spacing w:line="560" w:lineRule="exact"/>
        <w:ind w:firstLine="640" w:firstLineChars="200"/>
        <w:rPr>
          <w:rFonts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工业生产</w:t>
      </w:r>
      <w:r>
        <w:rPr>
          <w:rFonts w:hint="eastAsia" w:eastAsia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低位</w:t>
      </w:r>
      <w:r>
        <w:rPr>
          <w:rFonts w:hint="eastAsia" w:ascii="楷体_GB2312" w:eastAsia="楷体_GB2312" w:cs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运行</w:t>
      </w:r>
      <w:r>
        <w:rPr>
          <w:rFonts w:hint="eastAsia" w:eastAsia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规模以上工业企业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110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家。规模以上工业增加值增长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4.04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,比上年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4.44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个百分点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。其中，轻工业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8.8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%；重工业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增长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3.4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%，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轻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生产运行明显好于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重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工业。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重点行业</w:t>
      </w:r>
      <w:r>
        <w:rPr>
          <w:rFonts w:hint="eastAsia" w:eastAsia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喜忧参半</w:t>
      </w:r>
      <w:r>
        <w:rPr>
          <w:rFonts w:eastAsia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在规模以上工业中，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煤炭开采和洗选业、非金属矿物制品业、电力、热力生产和供应业、专用设备制造业、化学原料和化学制品制造业、燃气生产和供应业6个行业实现增加值占比较大，分别为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49.3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%、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2.1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%、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3.8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%、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0.8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%、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9.5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%、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6.6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%，但是实现增加值增长情况良莠不齐，同比增长分别为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1.17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%、-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25.7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%、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32.67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%、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0.37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%、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-5.38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%、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24.22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主要产品</w:t>
      </w:r>
      <w:r>
        <w:rPr>
          <w:rFonts w:hint="eastAsia" w:eastAsia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生产相对平稳</w:t>
      </w:r>
      <w:r>
        <w:rPr>
          <w:rFonts w:eastAsia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种主要工业产品中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，2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种实现同比增长，增长面为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发电量、服装、商品混凝土、面粉、机制纸及纸板等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产品产量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增长较快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hint="eastAsia" w:eastAsia="仿宋_GB2312"/>
          <w:color w:val="FF0000"/>
          <w:sz w:val="32"/>
          <w:szCs w:val="32"/>
        </w:rPr>
      </w:pPr>
      <w:r>
        <w:rPr>
          <w:rFonts w:hint="eastAsia" w:eastAsia="仿宋_GB2312"/>
          <w:color w:val="FF0000"/>
          <w:sz w:val="32"/>
          <w:szCs w:val="32"/>
        </w:rPr>
        <w:t xml:space="preserve">  </w:t>
      </w:r>
    </w:p>
    <w:tbl>
      <w:tblPr>
        <w:tblStyle w:val="18"/>
        <w:tblW w:w="96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8"/>
        <w:gridCol w:w="1634"/>
        <w:gridCol w:w="1671"/>
        <w:gridCol w:w="16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主要工业产品产量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本年产量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同比增长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19421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-19.67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摩托车整车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12599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-0.59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万件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-79.09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梭织服装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万件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-64.33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针织服装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万件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立方米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628242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-36.04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熟肉制品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-92.93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电光源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-70.94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荧光灯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-70.94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灯具及照明装置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套（台、个）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668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116.88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金属紧固件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饮料酒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千升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127287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其中：白酒（折65度，商品量）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千升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1932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38.42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自来水生产量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万立方米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1106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-2.64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玻璃包装容器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108967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12.03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工业锅炉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蒸发量吨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-95.05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房间空气调节器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西服套装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万件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26.15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衬衫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万件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-38.63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铝材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3093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46.17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铁合金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79000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铸铁件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18064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锻件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29300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10.22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化学试剂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42334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-2.19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石膏板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万平方米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494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-17.80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8187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-16.62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果汁和蔬菜汁类饮料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977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1058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287.15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锂离子电池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只（自然只）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102891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1174.35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万双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-1.58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皮革鞋靴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万双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-1.58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纸浆（原生浆及废纸浆）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525952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17.91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机制纸及纸板（外购原纸加工除外）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482513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18.01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包装用纸及纸板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350754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21.33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其中：箱纸板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350754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21.33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涂料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16014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37.47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1835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-88.11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其中：木质家具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1835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-88.11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啤酒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千升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125355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179914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-32.36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其中：强度等级42.5水泥（含R型）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-66.67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196546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-0.44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纸制品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7737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56.56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其中：瓦楞纸箱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3167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32.90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人造板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立方米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124912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纤维板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立方米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81200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-17.40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硅酸盐水泥熟料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78014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-55.19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其中：窑外分解窑水泥熟料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78014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-55.19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-100.00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其中：胶合板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立方米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43712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139.74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铅酸蓄电池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千伏安时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碱性蓄电池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只（自然只）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冷冻水产品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-99.86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包装饮用水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7210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-18.58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洗精煤（用于炼焦）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5069776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其他洗煤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999588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发电量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万千瓦小时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163890 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3.02 </w:t>
            </w:r>
          </w:p>
        </w:tc>
      </w:tr>
    </w:tbl>
    <w:p>
      <w:pPr>
        <w:spacing w:line="560" w:lineRule="exact"/>
        <w:ind w:firstLine="640" w:firstLineChars="200"/>
        <w:rPr>
          <w:rFonts w:hint="eastAsia" w:eastAsia="仿宋_GB2312"/>
          <w:color w:val="FF0000"/>
          <w:sz w:val="32"/>
          <w:szCs w:val="32"/>
        </w:rPr>
      </w:pPr>
      <w:r>
        <w:rPr>
          <w:rFonts w:hint="eastAsia" w:eastAsia="仿宋_GB2312"/>
          <w:color w:val="FF000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经济效益质量提升。201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年规模以上工业企业实现主营业务收入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226.57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14.28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%；利润20.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13.86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%；利税3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5.91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亿元，增长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13.38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主营收入利润率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达到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9.20%。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四、固定资产投资、房地产投资、建筑业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固定资产投资下降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39.6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%。房地产市场运行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房地产开发投资完成42.71亿元，减少26.48%。房屋施工面积545.58万平方米，增长10.7%；房屋竣工面积38.97万平方米，减少4.48%。实现商品房销售面积104.41万平方米；商品房销售额53.11亿元，增长25.12%。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建筑业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稳定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。建筑业增加值6.06亿元，增长1.1%。年末三级及以上资质建筑企业29家，比上年减少1家。签订合同额27.22亿元，增长10.42%。完成产值22.81亿元，增长7.09%。建筑业总产值超过亿元的企业有4家，产值过15亿元的企业1家，产值过10亿元的1家，占全部企业个数的比例分别为13.8%、3.4%和3.4%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保障性安居工程建设稳步实施。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全年已开工建设保障性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公租房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套。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完成农村危房改造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114户。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五、国内贸易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消费品市场增长平稳。社会消费品零售总额91.8亿元，增长8%。分区域看，城镇零售额70.4亿元，增长7.1%；乡村零售额21.4亿元，增长11%。分行业看，批发零售业零售额79.8亿元，增长7.5%；住宿餐饮业12亿元，增长11.8%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97155</wp:posOffset>
            </wp:positionV>
            <wp:extent cx="3977005" cy="2410460"/>
            <wp:effectExtent l="0" t="0" r="4445" b="8890"/>
            <wp:wrapNone/>
            <wp:docPr id="9" name="图片 8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7005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40" w:lineRule="exact"/>
        <w:ind w:firstLine="420" w:firstLineChars="200"/>
        <w:textAlignment w:val="auto"/>
        <w:rPr>
          <w:rFonts w:ascii="Times New Roman" w:hAnsi="Times New Roman" w:eastAsia="宋体" w:cs="Times New Roman"/>
          <w:szCs w:val="21"/>
        </w:rPr>
      </w:pPr>
    </w:p>
    <w:p>
      <w:pPr>
        <w:overflowPunct w:val="0"/>
        <w:spacing w:line="340" w:lineRule="exact"/>
        <w:ind w:firstLine="420" w:firstLineChars="200"/>
        <w:rPr>
          <w:rFonts w:ascii="Times New Roman" w:hAnsi="Times New Roman" w:eastAsia="宋体" w:cs="Times New Roman"/>
          <w:szCs w:val="21"/>
        </w:rPr>
      </w:pPr>
    </w:p>
    <w:p>
      <w:pPr>
        <w:overflowPunct w:val="0"/>
        <w:spacing w:line="340" w:lineRule="exact"/>
        <w:ind w:firstLine="420" w:firstLineChars="200"/>
        <w:rPr>
          <w:rFonts w:hint="eastAsia" w:ascii="Times New Roman" w:hAnsi="Times New Roman" w:eastAsia="宋体" w:cs="Times New Roman"/>
          <w:szCs w:val="21"/>
        </w:rPr>
      </w:pPr>
    </w:p>
    <w:p>
      <w:pPr>
        <w:overflowPunct w:val="0"/>
        <w:spacing w:line="340" w:lineRule="exact"/>
        <w:ind w:firstLine="420" w:firstLineChars="200"/>
        <w:rPr>
          <w:rFonts w:hint="eastAsia" w:ascii="Times New Roman" w:hAnsi="Times New Roman" w:eastAsia="宋体" w:cs="Times New Roman"/>
          <w:szCs w:val="21"/>
        </w:rPr>
      </w:pPr>
    </w:p>
    <w:p>
      <w:pPr>
        <w:overflowPunct w:val="0"/>
        <w:spacing w:line="340" w:lineRule="exact"/>
        <w:ind w:firstLine="420" w:firstLineChars="200"/>
        <w:rPr>
          <w:rFonts w:hint="eastAsia" w:ascii="Times New Roman" w:hAnsi="Times New Roman" w:eastAsia="宋体" w:cs="Times New Roman"/>
          <w:szCs w:val="21"/>
        </w:rPr>
      </w:pPr>
    </w:p>
    <w:p>
      <w:pPr>
        <w:overflowPunct w:val="0"/>
        <w:spacing w:line="340" w:lineRule="exact"/>
        <w:ind w:firstLine="420" w:firstLineChars="200"/>
        <w:rPr>
          <w:rFonts w:hint="eastAsia" w:ascii="Times New Roman" w:hAnsi="Times New Roman" w:eastAsia="宋体" w:cs="Times New Roman"/>
          <w:szCs w:val="21"/>
        </w:rPr>
      </w:pPr>
    </w:p>
    <w:p>
      <w:pPr>
        <w:overflowPunct w:val="0"/>
        <w:spacing w:line="340" w:lineRule="exact"/>
        <w:ind w:firstLine="420" w:firstLineChars="200"/>
        <w:rPr>
          <w:rFonts w:hint="eastAsia" w:ascii="Times New Roman" w:hAnsi="Times New Roman" w:eastAsia="宋体" w:cs="Times New Roman"/>
          <w:szCs w:val="21"/>
        </w:rPr>
      </w:pPr>
    </w:p>
    <w:p>
      <w:pPr>
        <w:overflowPunct w:val="0"/>
        <w:spacing w:line="340" w:lineRule="exact"/>
        <w:ind w:firstLine="420" w:firstLineChars="200"/>
        <w:rPr>
          <w:rFonts w:hint="eastAsia" w:ascii="Times New Roman" w:hAnsi="Times New Roman" w:eastAsia="宋体" w:cs="Times New Roman"/>
          <w:szCs w:val="21"/>
        </w:rPr>
      </w:pPr>
    </w:p>
    <w:p>
      <w:pPr>
        <w:overflowPunct w:val="0"/>
        <w:spacing w:line="340" w:lineRule="exact"/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</w:rPr>
      </w:pPr>
    </w:p>
    <w:p>
      <w:pPr>
        <w:overflowPunct w:val="0"/>
        <w:spacing w:line="3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overflowPunct w:val="0"/>
        <w:spacing w:line="3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overflowPunct w:val="0"/>
        <w:spacing w:line="3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主要商品销售较好。在限额以上批发和零售业法人企业中，粮油、食品类实现零售额1.7亿元，增长30.2%，日用品类实现零售额3315.5万元，增长32%，中西药品类实现零售额1.1亿元，增长19.7%。</w:t>
      </w:r>
    </w:p>
    <w:p>
      <w:pPr>
        <w:overflowPunct w:val="0"/>
        <w:spacing w:line="3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六、对外经济</w:t>
      </w:r>
    </w:p>
    <w:p>
      <w:pPr>
        <w:overflowPunct w:val="0"/>
        <w:spacing w:line="340" w:lineRule="exact"/>
        <w:ind w:firstLine="64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对外出口高速增长。进出口总额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74020</w:t>
      </w:r>
      <w:r>
        <w:rPr>
          <w:rFonts w:hint="eastAsia" w:ascii="仿宋" w:hAnsi="仿宋" w:eastAsia="仿宋" w:cs="仿宋"/>
          <w:sz w:val="32"/>
          <w:szCs w:val="32"/>
        </w:rPr>
        <w:t>万元，同比增长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34.5</w:t>
      </w:r>
      <w:r>
        <w:rPr>
          <w:rFonts w:hint="eastAsia" w:ascii="仿宋" w:hAnsi="仿宋" w:eastAsia="仿宋" w:cs="仿宋"/>
          <w:sz w:val="32"/>
          <w:szCs w:val="32"/>
        </w:rPr>
        <w:t>%。其中：进口总额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8246</w:t>
      </w:r>
      <w:r>
        <w:rPr>
          <w:rFonts w:hint="eastAsia" w:ascii="仿宋" w:hAnsi="仿宋" w:eastAsia="仿宋" w:cs="仿宋"/>
          <w:sz w:val="32"/>
          <w:szCs w:val="32"/>
        </w:rPr>
        <w:t>万元，同比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47.5</w:t>
      </w:r>
      <w:r>
        <w:rPr>
          <w:rFonts w:hint="eastAsia" w:ascii="仿宋" w:hAnsi="仿宋" w:eastAsia="仿宋" w:cs="仿宋"/>
          <w:sz w:val="32"/>
          <w:szCs w:val="32"/>
        </w:rPr>
        <w:t>%；出口总额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65774</w:t>
      </w:r>
      <w:r>
        <w:rPr>
          <w:rFonts w:hint="eastAsia" w:ascii="仿宋" w:hAnsi="仿宋" w:eastAsia="仿宋" w:cs="仿宋"/>
          <w:sz w:val="32"/>
          <w:szCs w:val="32"/>
        </w:rPr>
        <w:t>万元，增长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67.3</w:t>
      </w:r>
      <w:r>
        <w:rPr>
          <w:rFonts w:hint="eastAsia" w:ascii="仿宋" w:hAnsi="仿宋" w:eastAsia="仿宋" w:cs="仿宋"/>
          <w:sz w:val="32"/>
          <w:szCs w:val="32"/>
        </w:rPr>
        <w:t>%。实际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使用</w:t>
      </w:r>
      <w:r>
        <w:rPr>
          <w:rFonts w:hint="eastAsia" w:ascii="仿宋" w:hAnsi="仿宋" w:eastAsia="仿宋" w:cs="仿宋"/>
          <w:sz w:val="32"/>
          <w:szCs w:val="32"/>
        </w:rPr>
        <w:t>外资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19384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40.4%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overflowPunct w:val="0"/>
        <w:spacing w:line="3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七、交通、邮电和旅游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公路运输稳定发展。载客汽车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  <w:szCs w:val="32"/>
        </w:rPr>
        <w:t>辆，载客汽车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405</w:t>
      </w:r>
      <w:r>
        <w:rPr>
          <w:rFonts w:hint="eastAsia" w:ascii="仿宋" w:hAnsi="仿宋" w:eastAsia="仿宋" w:cs="仿宋"/>
          <w:sz w:val="32"/>
          <w:szCs w:val="32"/>
        </w:rPr>
        <w:t>客位；载货汽车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3494</w:t>
      </w:r>
      <w:r>
        <w:rPr>
          <w:rFonts w:hint="eastAsia" w:ascii="仿宋" w:hAnsi="仿宋" w:eastAsia="仿宋" w:cs="仿宋"/>
          <w:sz w:val="32"/>
          <w:szCs w:val="32"/>
        </w:rPr>
        <w:t>辆，载货汽车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48937.51</w:t>
      </w:r>
      <w:r>
        <w:rPr>
          <w:rFonts w:hint="eastAsia" w:ascii="仿宋" w:hAnsi="仿宋" w:eastAsia="仿宋" w:cs="仿宋"/>
          <w:sz w:val="32"/>
          <w:szCs w:val="32"/>
        </w:rPr>
        <w:t>吨位。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邮电通信业发展较快。全区实现邮政业务总量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24.5</w:t>
      </w:r>
      <w:r>
        <w:rPr>
          <w:rFonts w:hint="eastAsia" w:ascii="仿宋" w:hAnsi="仿宋" w:eastAsia="仿宋" w:cs="仿宋"/>
          <w:sz w:val="32"/>
          <w:szCs w:val="32"/>
        </w:rPr>
        <w:t>%。移动互联网业务发展较快。2017年末，移动电话用户累计达到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52.37</w:t>
      </w:r>
      <w:r>
        <w:rPr>
          <w:rFonts w:hint="eastAsia" w:ascii="仿宋" w:hAnsi="仿宋" w:eastAsia="仿宋" w:cs="仿宋"/>
          <w:sz w:val="32"/>
          <w:szCs w:val="32"/>
        </w:rPr>
        <w:t>万户，同比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45.6</w:t>
      </w:r>
      <w:r>
        <w:rPr>
          <w:rFonts w:hint="eastAsia" w:ascii="仿宋" w:hAnsi="仿宋" w:eastAsia="仿宋" w:cs="仿宋"/>
          <w:sz w:val="32"/>
          <w:szCs w:val="32"/>
        </w:rPr>
        <w:t>%；我区互联网用户累计达到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14.73</w:t>
      </w:r>
      <w:r>
        <w:rPr>
          <w:rFonts w:hint="eastAsia" w:ascii="仿宋" w:hAnsi="仿宋" w:eastAsia="仿宋" w:cs="仿宋"/>
          <w:sz w:val="32"/>
          <w:szCs w:val="32"/>
        </w:rPr>
        <w:t>万户，同比增长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2.3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旅游业蓬勃发展。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共接待国内外游客320万人次，同比增长7.74%；实现旅游消费总额26.99亿元，同比增长14.26%。其中，接待入境游客1.02万人次，实现入境游客消费285.6万美元，同比增长8.81%；接待国内游客318.98万人次，同比增长7.81%，实现国内游客消费26.8亿元，同比增长14.28%。游客人均消费843.44元，城乡居民年人均出游次数为4.6次，同比增长23.1%。</w:t>
      </w:r>
    </w:p>
    <w:p>
      <w:pPr>
        <w:overflowPunct w:val="0"/>
        <w:spacing w:line="3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八、财税、金融</w:t>
      </w:r>
    </w:p>
    <w:p>
      <w:pPr>
        <w:overflowPunct w:val="0"/>
        <w:spacing w:line="340" w:lineRule="exact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财税收入平稳增长。一般公共财政预算收入14.4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亿元，增长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0.2</w:t>
      </w:r>
      <w:r>
        <w:rPr>
          <w:rFonts w:hint="eastAsia" w:ascii="仿宋" w:hAnsi="仿宋" w:eastAsia="仿宋" w:cs="仿宋"/>
          <w:sz w:val="32"/>
          <w:szCs w:val="32"/>
        </w:rPr>
        <w:t>%。在公共财政预算收入中，增值税同比增长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10.6</w:t>
      </w:r>
      <w:r>
        <w:rPr>
          <w:rFonts w:hint="eastAsia" w:ascii="仿宋" w:hAnsi="仿宋" w:eastAsia="仿宋" w:cs="仿宋"/>
          <w:sz w:val="32"/>
          <w:szCs w:val="32"/>
        </w:rPr>
        <w:t>%，营业税同比下降9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%，企业所得税同比增长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39.3</w:t>
      </w:r>
      <w:r>
        <w:rPr>
          <w:rFonts w:hint="eastAsia" w:ascii="仿宋" w:hAnsi="仿宋" w:eastAsia="仿宋" w:cs="仿宋"/>
          <w:sz w:val="32"/>
          <w:szCs w:val="32"/>
        </w:rPr>
        <w:t>%，个人所得税同比增长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22.6</w:t>
      </w:r>
      <w:r>
        <w:rPr>
          <w:rFonts w:hint="eastAsia" w:ascii="仿宋" w:hAnsi="仿宋" w:eastAsia="仿宋" w:cs="仿宋"/>
          <w:sz w:val="32"/>
          <w:szCs w:val="32"/>
        </w:rPr>
        <w:t>%，城市维护建设税同比增长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28.6</w:t>
      </w:r>
      <w:r>
        <w:rPr>
          <w:rFonts w:hint="eastAsia" w:ascii="仿宋" w:hAnsi="仿宋" w:eastAsia="仿宋" w:cs="仿宋"/>
          <w:sz w:val="32"/>
          <w:szCs w:val="32"/>
        </w:rPr>
        <w:t>%。公共财政预算支出21.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亿元，增长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%。支出项目中，教育支出增长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5.1</w:t>
      </w:r>
      <w:r>
        <w:rPr>
          <w:rFonts w:hint="eastAsia" w:ascii="仿宋" w:hAnsi="仿宋" w:eastAsia="仿宋" w:cs="仿宋"/>
          <w:sz w:val="32"/>
          <w:szCs w:val="32"/>
        </w:rPr>
        <w:t>%，医疗卫生与计划生育支出增长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10.5</w:t>
      </w:r>
      <w:r>
        <w:rPr>
          <w:rFonts w:hint="eastAsia" w:ascii="仿宋" w:hAnsi="仿宋" w:eastAsia="仿宋" w:cs="仿宋"/>
          <w:sz w:val="32"/>
          <w:szCs w:val="32"/>
        </w:rPr>
        <w:t>%，社会保障和就业支出增长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1%。税收收入下降。税收收入（国税和地税）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20.17</w:t>
      </w:r>
      <w:r>
        <w:rPr>
          <w:rFonts w:hint="eastAsia" w:ascii="仿宋" w:hAnsi="仿宋" w:eastAsia="仿宋" w:cs="仿宋"/>
          <w:sz w:val="32"/>
          <w:szCs w:val="32"/>
        </w:rPr>
        <w:t>亿元,与同比增长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20.8</w:t>
      </w:r>
      <w:r>
        <w:rPr>
          <w:rFonts w:hint="eastAsia" w:ascii="仿宋" w:hAnsi="仿宋" w:eastAsia="仿宋" w:cs="仿宋"/>
          <w:sz w:val="32"/>
          <w:szCs w:val="32"/>
        </w:rPr>
        <w:t>%。税收占GDP的比重5.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overflowPunct w:val="0"/>
        <w:spacing w:line="340" w:lineRule="exact"/>
        <w:ind w:firstLine="420" w:firstLineChars="200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0" w:lineRule="auto"/>
        <w:ind w:firstLine="42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4445</wp:posOffset>
            </wp:positionV>
            <wp:extent cx="5713730" cy="3848100"/>
            <wp:effectExtent l="4445" t="4445" r="15875" b="14605"/>
            <wp:wrapNone/>
            <wp:docPr id="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存贷款余额增加，信贷结构优化。年末，金融机构本外币存款余额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427.6</w:t>
      </w:r>
      <w:r>
        <w:rPr>
          <w:rFonts w:hint="eastAsia" w:ascii="仿宋" w:hAnsi="仿宋" w:eastAsia="仿宋" w:cs="仿宋"/>
          <w:sz w:val="32"/>
          <w:szCs w:val="32"/>
        </w:rPr>
        <w:t>亿元，比年初增长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22.73</w:t>
      </w:r>
      <w:r>
        <w:rPr>
          <w:rFonts w:hint="eastAsia" w:ascii="仿宋" w:hAnsi="仿宋" w:eastAsia="仿宋" w:cs="仿宋"/>
          <w:sz w:val="32"/>
          <w:szCs w:val="32"/>
        </w:rPr>
        <w:t>%。其中，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境内</w:t>
      </w:r>
      <w:r>
        <w:rPr>
          <w:rFonts w:hint="eastAsia" w:ascii="仿宋" w:hAnsi="仿宋" w:eastAsia="仿宋" w:cs="仿宋"/>
          <w:sz w:val="32"/>
          <w:szCs w:val="32"/>
        </w:rPr>
        <w:t>存款余额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380</w:t>
      </w:r>
      <w:r>
        <w:rPr>
          <w:rFonts w:hint="eastAsia" w:ascii="仿宋" w:hAnsi="仿宋" w:eastAsia="仿宋" w:cs="仿宋"/>
          <w:sz w:val="32"/>
          <w:szCs w:val="32"/>
        </w:rPr>
        <w:t>亿元，比年初增长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22.74</w:t>
      </w:r>
      <w:r>
        <w:rPr>
          <w:rFonts w:hint="eastAsia" w:ascii="仿宋" w:hAnsi="仿宋" w:eastAsia="仿宋" w:cs="仿宋"/>
          <w:sz w:val="32"/>
          <w:szCs w:val="32"/>
        </w:rPr>
        <w:t>%；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境外</w:t>
      </w:r>
      <w:r>
        <w:rPr>
          <w:rFonts w:hint="eastAsia" w:ascii="仿宋" w:hAnsi="仿宋" w:eastAsia="仿宋" w:cs="仿宋"/>
          <w:sz w:val="32"/>
          <w:szCs w:val="32"/>
        </w:rPr>
        <w:t>存款余额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0.03</w:t>
      </w:r>
      <w:r>
        <w:rPr>
          <w:rFonts w:hint="eastAsia" w:ascii="仿宋" w:hAnsi="仿宋" w:eastAsia="仿宋" w:cs="仿宋"/>
          <w:sz w:val="32"/>
          <w:szCs w:val="32"/>
        </w:rPr>
        <w:t>亿元，比年初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58.51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，新城行业金融机构存款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47.5亿元，比年初增长22.83%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金融机构</w:t>
      </w:r>
      <w:r>
        <w:rPr>
          <w:rFonts w:hint="eastAsia" w:ascii="仿宋" w:hAnsi="仿宋" w:eastAsia="仿宋" w:cs="仿宋"/>
          <w:sz w:val="32"/>
          <w:szCs w:val="32"/>
        </w:rPr>
        <w:t>各项人民币贷款余额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307.1</w:t>
      </w:r>
      <w:r>
        <w:rPr>
          <w:rFonts w:hint="eastAsia" w:ascii="仿宋" w:hAnsi="仿宋" w:eastAsia="仿宋" w:cs="仿宋"/>
          <w:sz w:val="32"/>
          <w:szCs w:val="32"/>
        </w:rPr>
        <w:t>亿元，比年初增长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24.42%</w:t>
      </w:r>
      <w:r>
        <w:rPr>
          <w:rFonts w:hint="eastAsia" w:ascii="仿宋" w:hAnsi="仿宋" w:eastAsia="仿宋" w:cs="仿宋"/>
          <w:sz w:val="32"/>
          <w:szCs w:val="32"/>
        </w:rPr>
        <w:t>。其中，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境内</w:t>
      </w:r>
      <w:r>
        <w:rPr>
          <w:rFonts w:hint="eastAsia" w:ascii="仿宋" w:hAnsi="仿宋" w:eastAsia="仿宋" w:cs="仿宋"/>
          <w:sz w:val="32"/>
          <w:szCs w:val="32"/>
        </w:rPr>
        <w:t>贷款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272.2</w:t>
      </w:r>
      <w:r>
        <w:rPr>
          <w:rFonts w:hint="eastAsia" w:ascii="仿宋" w:hAnsi="仿宋" w:eastAsia="仿宋" w:cs="仿宋"/>
          <w:sz w:val="32"/>
          <w:szCs w:val="32"/>
        </w:rPr>
        <w:t>亿元，比年初增长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17.94</w:t>
      </w:r>
      <w:r>
        <w:rPr>
          <w:rFonts w:hint="eastAsia" w:ascii="仿宋" w:hAnsi="仿宋" w:eastAsia="仿宋" w:cs="仿宋"/>
          <w:sz w:val="32"/>
          <w:szCs w:val="32"/>
        </w:rPr>
        <w:t>%；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境外</w:t>
      </w:r>
      <w:r>
        <w:rPr>
          <w:rFonts w:hint="eastAsia" w:ascii="仿宋" w:hAnsi="仿宋" w:eastAsia="仿宋" w:cs="仿宋"/>
          <w:sz w:val="32"/>
          <w:szCs w:val="32"/>
        </w:rPr>
        <w:t>贷款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0.048</w:t>
      </w:r>
      <w:r>
        <w:rPr>
          <w:rFonts w:hint="eastAsia" w:ascii="仿宋" w:hAnsi="仿宋" w:eastAsia="仿宋" w:cs="仿宋"/>
          <w:sz w:val="32"/>
          <w:szCs w:val="32"/>
        </w:rPr>
        <w:t>亿元，比年初增长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821.28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，新城行业金融机构贷款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34.9亿元，比年初增长117.67%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、科学技术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科技事业进一步发展。争取山东省西部隆起带基层科技人才支撑计划项目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项，获扶持资金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万元。全区专利申请659件，其中发明专利申请153件，专利授权455件，其中发明专利34件，有效发明专利215件。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增高新技术企业3家，总数达到6家；新增市级科技型中小企业16家，总数达到44家。新增省级科技孵化器和众创空间2家，市级工程技术研究中心6家，市级重点实验室3家，市科技企业孵化器1家，市科技协同创新中心3家，“农科驿站”5家、“星创天地”1家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科技创新体系逐步完善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现有省级科技孵化器和众创空间2家，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院士工作站2家，省级国际科技合作平台1个，博士后科研工作站1个，省级农业科技园区1个，农科驿站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个，市级工程技术研究中心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家，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市级重点实验室3家，市科技协同创新中心3家，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市级科技孵化器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个，博士工作站19家。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十、教育、文化、广播、卫生和体育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FF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各项教育事业协调迅速发展。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全区共有各类学校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86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所，其中，小学62所，初中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所，高中3所，九年一贯制学校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所，十二年一贯制学校2所，完全中学1所，体育中学1所，教学点1所，区直幼儿园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所，职业学校1所，进修学校1所，农广校1所。全区中小学共有在校生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84684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人，其中，小学生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49094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人，初中学生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20021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人，高中学生15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569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人。</w:t>
      </w:r>
    </w:p>
    <w:p>
      <w:pPr>
        <w:overflowPunct w:val="0"/>
        <w:spacing w:line="3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文化艺术、广播影视、新闻出版等各项事业繁荣发展。年末专业演出场所4个，各类艺术表演团体37个，电影放映单位7个，其中影视院线5个。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共有区级电视台1座,电视台节目套数2套，电台套数1套，平均自办节目周播时间50小时，电视人口覆盖率达100%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FF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卫生保健服务网络不断完善。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卫生机构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个，其中综合医院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所、中医医院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所、专科医院3所、乡镇卫生院6所、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社区卫生服务中心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3所、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妇保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站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所、疾控中心2所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监督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机构1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所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、门诊部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2所、精神防治机构1所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；病床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4206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张（其中，医院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2851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张，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基层机构376张，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妇保院（站）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979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张）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各类卫生技术人员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7282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人，其中执业（助理）医师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2350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人，注册护士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3020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7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全民健身服务网络逐步完善。群众体育蓬勃发展，单项体育体协1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个，新建提升行政村（社区、自然村）体育小广场252个，举办第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届薛城区全民运动会，镇街、村（社区）层层联动，同时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承办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级比赛活动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次，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举办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区级比赛16次，参加人数12000人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各类培训班6期，累计培训1000余人次；今年我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还获得了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山东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第八届全民健身运动会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先进单位荣誉称号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;竞技体育取得新成绩，有1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0名优秀运动员参加国家、省级比赛，共获得国家级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金牌5枚，银牌2枚，铜牌2枚，第四名5个；在省级比赛活动中共获得金牌3枚，银牌6枚，铜牌6枚，第四名2个。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业余体校1所，在校学生1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人;产业体育实现新突破，体彩销量达1.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亿元。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十一、城市建设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一是市政公用设施日益完善。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城区道路设施全面提档。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围绕“提升大新城首位度，着力提升城市品质”工作要求，坚持高标准、高品位推进新城路网建设。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和谐路辟通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隧道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投资1.9亿元，年度投资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6500万元，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已完成隧道挖掘、装饰装修、管廊建设、道路沥青路面铺设等工程施工，具备通车条件；协调施工队伍加紧推进，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厦门路提升和民生路辟通工程建设，目前厦门路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完成综合管廊及附属配套工程建设，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民生路辟通工程已完成土石方爆破外运10万余方，完成临时道路硬化、加工棚主体及骨架护坡施工；积极配合市级部门推进城南道路工程建设，目前，民生路南延工程正在进行路基整理，开挖管廊；世纪大道、祁连山路南延项目地面附着物清理顺利推进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供热、供排水能力持续增强。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城区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实现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供水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1350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万吨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售水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1063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万吨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，实现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产值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3330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万余元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，同比增收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798万元；供水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安装工程产值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4000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余万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累计安装DN100mm以上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供水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管道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公里，户表改造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3341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；长江水厂顺利完成节能降耗改造工作。全年处理污水2300万吨，处置污泥4940吨，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污泥含水率控制在78.5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%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以内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出厂水质达到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国家一级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A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标准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总投资2.09亿元，采取BOT+TOT模式，改建区污水处理厂区原有4万吨生化池，新建4万吨生化池、8万吨深度处理池，配套建设城区雨污分流管网13.4公里。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对25家燃气燃烧器具安装维修企业进行了备案，先后对29个燃气工程进行备案。新建、改造燃气中低压管道20余公里。投资1.29亿元，新增铺设供热主管网16公里，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实现鸿阳、建阳、八一热电三个热源厂联网并接。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城市生态环境不断优化。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年度投资1.05亿元，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累计投资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1.46亿元，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完成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小沙河黑臭水体整治工程，共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整治污水直排口20处，铺设污水管道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9000余米，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清理河道漂浮物和淤泥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万立方米，维修小沙河东、西河堤泊岸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0余米。安装河岸观景石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5000吨，栽植乔木约2000棵、灌木约30万株，绿化面积约5万平方米，小沙河生态环境得到极大改观。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二是住房建设成效显著。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PPP模式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与国企中电建集团合作，总投资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7.2亿元，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开工建设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占地200亩、总建筑面积25万平方米的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潘庄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棚改安置房工程。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年度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投入4.7亿元，完成新华街棚户区安置工程建设，具备分房条件；投入1.8亿元，完成天山路棚户区楼体工程建设；西巨山棚改安置房进行室内配套和室外水、气、暖管网施工。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全年开发建设商品房项目13个、约139万平方米，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完成投资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44.87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亿元，投资同比增长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%，商品房销售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103.92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万平方米，其中新建商品住宅销售面积为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99.22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万平方米，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商品房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库存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107.35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万平方米，同比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减少13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大力开展国家生态园林创建活动。完善城市绿化体系。以林荫公园、林荫休闲广场为点，以城市林荫路系统为网状框架，以林荫庭院、小区为全面覆盖的点、线、面有机结合的城市绿荫体系基本形成，有效保证了绿化的科学实施。扩大城市总体绿量。在老城区实施了24项绿化工程；在新城区实施了11条主次干道及裸露土地绿化补植、松花江东路新建、行道树涂白、道路标线复新及市实验高中东门绿化工程。对14处小区进行扩绿。在舜耕中学西侧建设了林荫停车场，可同时容纳461辆车辆停放，缓解城市热岛效应和停车难问题。截至2018年底，新增绿地游园面积20公顷，新增绿地面积30公顷，林荫路推广率达到85%，道路绿化普及率达到100%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四是配置高标准环卫设施，增强环卫保洁能力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。按照创卫标准，提升改造公厕26座，安排人员加强日常管理，全面达到二类标准。充分利用机扫车、冲洗洒水车对主次干道进行深度保洁。加快实施存量垃圾整治工作，新购置分类果皮箱2000个、分类垃圾桶600个，全面清除大铁皮垃圾箱，全面淘汰敞口式垃圾清运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五是行业监展态势良好。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加快推进建筑业转型升级，扎实做好建筑行业监管工作，完善建筑企业诚信体系，推动建筑产业提质增效和上档升级。鼓励和培育区建筑公司、安装公司等企业做专做精、做大做强。引导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建筑设计行业积极适应新形势下建筑工程设计需求。一年来共设计大小工程50余项，</w:t>
      </w:r>
      <w:r>
        <w:rPr>
          <w:rFonts w:hint="eastAsia" w:ascii="仿宋" w:hAnsi="仿宋" w:eastAsia="仿宋" w:cs="仿宋"/>
          <w:sz w:val="32"/>
          <w:szCs w:val="32"/>
        </w:rPr>
        <w:t>设计建筑面积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40余</w:t>
      </w:r>
      <w:r>
        <w:rPr>
          <w:rFonts w:hint="eastAsia" w:ascii="仿宋" w:hAnsi="仿宋" w:eastAsia="仿宋" w:cs="仿宋"/>
          <w:sz w:val="32"/>
          <w:szCs w:val="32"/>
        </w:rPr>
        <w:t>万平方米。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/>
        </w:rPr>
        <w:t>严把招投标关口，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实行建设工程招标信息公开化并自觉接受监督，全年共监督管理公开招标工程26个，办理施工、监理合同备案56个。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/>
        </w:rPr>
        <w:t>竣工备案工程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/>
        </w:rPr>
        <w:t>个，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创建优质结构工程12个，泰山杯工程1个。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扎实解决烂尾楼历史遗留问题。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针对燕山公馆、九龙城等7个房地产开发项目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，分门别类的制定方案措施，逐一逐项的推进项目启动建设，确保社会和谐稳定。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/>
        </w:rPr>
        <w:t>加强安全监管，强化行业监管责任、企业主体责任，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全面开展</w:t>
      </w:r>
      <w:r>
        <w:rPr>
          <w:rFonts w:hint="eastAsia" w:ascii="仿宋" w:hAnsi="仿宋" w:eastAsia="仿宋" w:cs="仿宋"/>
          <w:sz w:val="32"/>
          <w:szCs w:val="32"/>
        </w:rPr>
        <w:t>安全隐患排查等工作。今年共先后组织开展建筑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施工</w:t>
      </w:r>
      <w:r>
        <w:rPr>
          <w:rFonts w:hint="eastAsia" w:ascii="仿宋" w:hAnsi="仿宋" w:eastAsia="仿宋" w:cs="仿宋"/>
          <w:sz w:val="32"/>
          <w:szCs w:val="32"/>
        </w:rPr>
        <w:t>、燃热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领域安全生产大检查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专项整治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行动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次，查出各类安全隐患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余条，对排查出的安全隐患问题，逐一建立台账、逐一督促整改、逐一落实到位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确保住建系统安全生产形势持续稳定。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环境安全生产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水环境质量保持稳定。我区主要出境河流断面水质达到地表水三类要求。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空气环境质量趋稳改善。环境空气中四项主要污染物指标PM2.5、PM10、SO2、NO2年均浓度分别为57、105、18、35微克/立方米，较上年分别改善14.9%、9.5%、43.8%、-2.9%，优良率为49.9%，主要超标污染物为PM2.5、PM10。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全社会用电量增加。全社会用电量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182913</w:t>
      </w:r>
      <w:r>
        <w:rPr>
          <w:rFonts w:hint="eastAsia" w:ascii="仿宋" w:hAnsi="仿宋" w:eastAsia="仿宋" w:cs="仿宋"/>
          <w:sz w:val="32"/>
          <w:szCs w:val="32"/>
        </w:rPr>
        <w:t>万千瓦时，增长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21.2</w:t>
      </w:r>
      <w:r>
        <w:rPr>
          <w:rFonts w:hint="eastAsia" w:ascii="仿宋" w:hAnsi="仿宋" w:eastAsia="仿宋" w:cs="仿宋"/>
          <w:sz w:val="32"/>
          <w:szCs w:val="32"/>
        </w:rPr>
        <w:t>%，其中工业用电量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114261</w:t>
      </w:r>
      <w:r>
        <w:rPr>
          <w:rFonts w:hint="eastAsia" w:ascii="仿宋" w:hAnsi="仿宋" w:eastAsia="仿宋" w:cs="仿宋"/>
          <w:sz w:val="32"/>
          <w:szCs w:val="32"/>
        </w:rPr>
        <w:t>万千瓦时，增长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29.2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安全生产形势扭转。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共发生各类生产安全事故4起，上升100%；死亡12人，上升200%。发生了一起较大生产安全事故，我区深刻吸取事故教训，开展安全生产百日专项整治行动扭转了安全生产形势。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十三、人民生活和社会保障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城乡人民生活水平进一步提高。城镇居民人均可支配收入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29824</w:t>
      </w:r>
      <w:r>
        <w:rPr>
          <w:rFonts w:hint="eastAsia" w:ascii="仿宋" w:hAnsi="仿宋" w:eastAsia="仿宋" w:cs="仿宋"/>
          <w:sz w:val="32"/>
          <w:szCs w:val="32"/>
        </w:rPr>
        <w:t>元，增长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7.3</w:t>
      </w:r>
      <w:r>
        <w:rPr>
          <w:rFonts w:hint="eastAsia" w:ascii="仿宋" w:hAnsi="仿宋" w:eastAsia="仿宋" w:cs="仿宋"/>
          <w:sz w:val="32"/>
          <w:szCs w:val="32"/>
        </w:rPr>
        <w:t>%。农村居民人均可支配收入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14791</w:t>
      </w:r>
      <w:r>
        <w:rPr>
          <w:rFonts w:hint="eastAsia" w:ascii="仿宋" w:hAnsi="仿宋" w:eastAsia="仿宋" w:cs="仿宋"/>
          <w:sz w:val="32"/>
          <w:szCs w:val="32"/>
        </w:rPr>
        <w:t>元，增长8.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% 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社会保障体系逐步完善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全年各项社会保险费征收103100万元，增长28%。征缴企业养老保险费43964万元，增长45%。征缴城乡居民养老保险费6427万元，增长13%。征缴失业保险费1371万元，年末领取失业金人数357人。征缴医疗保险费16545万元，增长24%；支出13022万元，增长4%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社会救助能力提升。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城市低保标准达到每人每月4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0元，农村低保标准达到每人每年3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00元，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特困人员基本生活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达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到每人每年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5070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元。</w:t>
      </w:r>
      <w:r>
        <w:rPr>
          <w:rFonts w:hint="eastAsia" w:ascii="仿宋" w:hAnsi="仿宋" w:eastAsia="仿宋" w:cs="仿宋"/>
          <w:sz w:val="32"/>
          <w:szCs w:val="32"/>
        </w:rPr>
        <w:t>公报注释：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1、本公报数据为初步统计数，最终核实数以中国统计出版社出版的《薛城统计年鉴 2017》公布的数据为准；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2、地区生产总值及其中各行业增加值绝对数按现价计算，增长速度按2011年不变价计算。 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3、规模以上工业企业指年主营业务收入2000万元及以上企业。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限额以上批发、零售、住宿、餐饮企业指：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批发业：年主营业务收入2000万元及以上；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零售业：年主营业务收入500万元及以上；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住宿业：年主营业务收入200万元及以上；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餐饮业：年主营业务收入200万元及以上。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本公报中地区生产总值、规模以上工业增加值、全社会固定资产投资行业划分标准依照《国民经济行业分类》（GB/T4754-2011），三次产业划分标准根据《三次产业划分规定》（国统字〔2012〕108号）；外商直接投资行业划分标准仍沿用《国民经济行业分类》（GB/T4754-2002）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资料来源：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报中公安户籍人口数据来自区公安分局，出生、死亡数据、卫生数据来自区卫计局，非公有数据来自区市场监管局，粮食产量、价格、居民收入数据来自枣庄调查队，进出口数据、对外经济数据来自区商务局，货物、旅客运输及周转量数据来自区交运局，邮电通信数据来自区移动公司、区联通公司、区电信公司、区邮政管理局，财政数据来自区财政局，税收数据来自区国税局、区地税局，金融机构存贷款数据来自区人行，科技专利数据来自区科技局，教育数据来自区教育局，社会救助数据来自区民政局，社会保险、就业数据来自区人社局，文化数据来自区文广新局，广电数据来自区广播电视台，体育数据来自区体育局，城市基础设施建设数据来自区住建局，环境保护数据来自区环保局，安全生产数据来自区安监局，用电量数据来自市、区供电公司，其他数据均来自区统计局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850" w:h="16783"/>
      <w:pgMar w:top="964" w:right="737" w:bottom="907" w:left="737" w:header="709" w:footer="454" w:gutter="0"/>
      <w:pgNumType w:start="1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sz w:val="21"/>
        <w:szCs w:val="21"/>
      </w:rPr>
    </w:pPr>
    <w:r>
      <w:rPr>
        <w:rFonts w:hint="eastAsia"/>
        <w:sz w:val="21"/>
        <w:szCs w:val="21"/>
      </w:rPr>
      <w:t xml:space="preserve">— </w:t>
    </w:r>
    <w:sdt>
      <w:sdtPr>
        <w:rPr>
          <w:sz w:val="21"/>
          <w:szCs w:val="21"/>
        </w:rPr>
        <w:id w:val="30950663"/>
        <w:docPartObj>
          <w:docPartGallery w:val="autotext"/>
        </w:docPartObj>
      </w:sdtPr>
      <w:sdtEndPr>
        <w:rPr>
          <w:sz w:val="21"/>
          <w:szCs w:val="21"/>
        </w:rPr>
      </w:sdtEndPr>
      <w:sdtContent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hint="eastAsia" w:ascii="Times New Roman" w:hAnsi="Times New Roman" w:cs="Times New Roman"/>
            <w:sz w:val="21"/>
            <w:szCs w:val="21"/>
          </w:rPr>
          <w:t xml:space="preserve"> </w:t>
        </w:r>
        <w:r>
          <w:rPr>
            <w:rFonts w:hint="eastAsia"/>
            <w:sz w:val="21"/>
            <w:szCs w:val="21"/>
          </w:rPr>
          <w:t>—</w:t>
        </w:r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D80A"/>
    <w:multiLevelType w:val="singleLevel"/>
    <w:tmpl w:val="4FCFD80A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hideSpellingErrors/>
  <w:linkStyles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3F93"/>
    <w:rsid w:val="00005A46"/>
    <w:rsid w:val="00007AE9"/>
    <w:rsid w:val="000450B0"/>
    <w:rsid w:val="000610EB"/>
    <w:rsid w:val="00075D24"/>
    <w:rsid w:val="00080D23"/>
    <w:rsid w:val="000B3B2C"/>
    <w:rsid w:val="000C049D"/>
    <w:rsid w:val="000C2FA8"/>
    <w:rsid w:val="000C7A69"/>
    <w:rsid w:val="000F739F"/>
    <w:rsid w:val="00100C04"/>
    <w:rsid w:val="00110716"/>
    <w:rsid w:val="001141D3"/>
    <w:rsid w:val="00124D59"/>
    <w:rsid w:val="00161F41"/>
    <w:rsid w:val="0017082E"/>
    <w:rsid w:val="00174D76"/>
    <w:rsid w:val="00186C8E"/>
    <w:rsid w:val="001D4DE9"/>
    <w:rsid w:val="001E20F9"/>
    <w:rsid w:val="001E6A21"/>
    <w:rsid w:val="002047F6"/>
    <w:rsid w:val="00240866"/>
    <w:rsid w:val="0026614F"/>
    <w:rsid w:val="002747AC"/>
    <w:rsid w:val="002A45B9"/>
    <w:rsid w:val="002A6E3B"/>
    <w:rsid w:val="002B7899"/>
    <w:rsid w:val="002E1B2A"/>
    <w:rsid w:val="00323B43"/>
    <w:rsid w:val="00362020"/>
    <w:rsid w:val="0039049C"/>
    <w:rsid w:val="0039314D"/>
    <w:rsid w:val="003B3E00"/>
    <w:rsid w:val="003C6026"/>
    <w:rsid w:val="003C6388"/>
    <w:rsid w:val="003D37D8"/>
    <w:rsid w:val="0040004A"/>
    <w:rsid w:val="00401C0B"/>
    <w:rsid w:val="004141C8"/>
    <w:rsid w:val="004232C6"/>
    <w:rsid w:val="00426133"/>
    <w:rsid w:val="004358AB"/>
    <w:rsid w:val="004B6FCA"/>
    <w:rsid w:val="004C48F2"/>
    <w:rsid w:val="004D6445"/>
    <w:rsid w:val="004E2ABA"/>
    <w:rsid w:val="00506E74"/>
    <w:rsid w:val="00533C79"/>
    <w:rsid w:val="00541B9E"/>
    <w:rsid w:val="00543410"/>
    <w:rsid w:val="00551009"/>
    <w:rsid w:val="005629C5"/>
    <w:rsid w:val="00612EC7"/>
    <w:rsid w:val="00615AA7"/>
    <w:rsid w:val="00620E01"/>
    <w:rsid w:val="006229E1"/>
    <w:rsid w:val="00636D84"/>
    <w:rsid w:val="006578EF"/>
    <w:rsid w:val="0068246C"/>
    <w:rsid w:val="00685FCF"/>
    <w:rsid w:val="00695467"/>
    <w:rsid w:val="006B7F57"/>
    <w:rsid w:val="006D3512"/>
    <w:rsid w:val="006D4BD7"/>
    <w:rsid w:val="00751677"/>
    <w:rsid w:val="00766C2C"/>
    <w:rsid w:val="007709ED"/>
    <w:rsid w:val="007B36B5"/>
    <w:rsid w:val="007C04FD"/>
    <w:rsid w:val="007C26B6"/>
    <w:rsid w:val="007C33E9"/>
    <w:rsid w:val="007E1561"/>
    <w:rsid w:val="007E4512"/>
    <w:rsid w:val="007E570C"/>
    <w:rsid w:val="007F593E"/>
    <w:rsid w:val="00800F1C"/>
    <w:rsid w:val="00840E7A"/>
    <w:rsid w:val="00884068"/>
    <w:rsid w:val="00891121"/>
    <w:rsid w:val="0089144B"/>
    <w:rsid w:val="008A5709"/>
    <w:rsid w:val="008B1C05"/>
    <w:rsid w:val="008B7726"/>
    <w:rsid w:val="008C7DD5"/>
    <w:rsid w:val="008D29B2"/>
    <w:rsid w:val="008D68D1"/>
    <w:rsid w:val="008E104A"/>
    <w:rsid w:val="00900B8D"/>
    <w:rsid w:val="00970E8C"/>
    <w:rsid w:val="00972691"/>
    <w:rsid w:val="0099005B"/>
    <w:rsid w:val="0099069A"/>
    <w:rsid w:val="00997993"/>
    <w:rsid w:val="009A5868"/>
    <w:rsid w:val="009A5A73"/>
    <w:rsid w:val="009B6C6F"/>
    <w:rsid w:val="009C0816"/>
    <w:rsid w:val="009C1E3A"/>
    <w:rsid w:val="009C4128"/>
    <w:rsid w:val="009D2197"/>
    <w:rsid w:val="009D239A"/>
    <w:rsid w:val="009D28D5"/>
    <w:rsid w:val="009D2B78"/>
    <w:rsid w:val="009D5A55"/>
    <w:rsid w:val="009E5E7E"/>
    <w:rsid w:val="009F3622"/>
    <w:rsid w:val="00A11120"/>
    <w:rsid w:val="00A27C29"/>
    <w:rsid w:val="00A404A7"/>
    <w:rsid w:val="00A42F76"/>
    <w:rsid w:val="00A54BC7"/>
    <w:rsid w:val="00A73873"/>
    <w:rsid w:val="00AA0F12"/>
    <w:rsid w:val="00AA5C80"/>
    <w:rsid w:val="00AA7362"/>
    <w:rsid w:val="00AB6021"/>
    <w:rsid w:val="00AB6A10"/>
    <w:rsid w:val="00AB7A18"/>
    <w:rsid w:val="00AE17FD"/>
    <w:rsid w:val="00B129F9"/>
    <w:rsid w:val="00B71DB6"/>
    <w:rsid w:val="00BD69E2"/>
    <w:rsid w:val="00C03C8E"/>
    <w:rsid w:val="00C350E6"/>
    <w:rsid w:val="00C35FEF"/>
    <w:rsid w:val="00C479CB"/>
    <w:rsid w:val="00CA27C0"/>
    <w:rsid w:val="00CC7FAB"/>
    <w:rsid w:val="00CD2A86"/>
    <w:rsid w:val="00CE3FC0"/>
    <w:rsid w:val="00D31D50"/>
    <w:rsid w:val="00D40E5A"/>
    <w:rsid w:val="00D55E51"/>
    <w:rsid w:val="00D55FD3"/>
    <w:rsid w:val="00D565ED"/>
    <w:rsid w:val="00D57208"/>
    <w:rsid w:val="00DB02C6"/>
    <w:rsid w:val="00DD4A7D"/>
    <w:rsid w:val="00DD58BC"/>
    <w:rsid w:val="00DE3155"/>
    <w:rsid w:val="00DF173B"/>
    <w:rsid w:val="00DF4881"/>
    <w:rsid w:val="00E033FC"/>
    <w:rsid w:val="00E20B83"/>
    <w:rsid w:val="00E20FFF"/>
    <w:rsid w:val="00E30455"/>
    <w:rsid w:val="00E3076A"/>
    <w:rsid w:val="00E51BEF"/>
    <w:rsid w:val="00E60EFD"/>
    <w:rsid w:val="00E77731"/>
    <w:rsid w:val="00E97272"/>
    <w:rsid w:val="00EC0891"/>
    <w:rsid w:val="00ED5EE4"/>
    <w:rsid w:val="00EE4D08"/>
    <w:rsid w:val="00F007EA"/>
    <w:rsid w:val="00F174FB"/>
    <w:rsid w:val="00F24C51"/>
    <w:rsid w:val="00F24E67"/>
    <w:rsid w:val="00F275C7"/>
    <w:rsid w:val="00F468A1"/>
    <w:rsid w:val="00F70262"/>
    <w:rsid w:val="00F977B7"/>
    <w:rsid w:val="00FA1B42"/>
    <w:rsid w:val="00FA2772"/>
    <w:rsid w:val="00FD70C7"/>
    <w:rsid w:val="01B90CA7"/>
    <w:rsid w:val="033D0DFA"/>
    <w:rsid w:val="03F63A78"/>
    <w:rsid w:val="03F96FAC"/>
    <w:rsid w:val="041C0C8A"/>
    <w:rsid w:val="049C54F3"/>
    <w:rsid w:val="04C07121"/>
    <w:rsid w:val="05162245"/>
    <w:rsid w:val="07215EDB"/>
    <w:rsid w:val="086B1A0E"/>
    <w:rsid w:val="09760A22"/>
    <w:rsid w:val="09E16B01"/>
    <w:rsid w:val="0B4E3412"/>
    <w:rsid w:val="0CD667ED"/>
    <w:rsid w:val="0D89360A"/>
    <w:rsid w:val="0DA82468"/>
    <w:rsid w:val="0E3E524F"/>
    <w:rsid w:val="0F044B1E"/>
    <w:rsid w:val="0F375837"/>
    <w:rsid w:val="0FAD474F"/>
    <w:rsid w:val="10AB53C9"/>
    <w:rsid w:val="126F3DD7"/>
    <w:rsid w:val="12724561"/>
    <w:rsid w:val="1530477D"/>
    <w:rsid w:val="15D0619B"/>
    <w:rsid w:val="15D3269D"/>
    <w:rsid w:val="16340641"/>
    <w:rsid w:val="1647372C"/>
    <w:rsid w:val="16473D68"/>
    <w:rsid w:val="16726910"/>
    <w:rsid w:val="16F20A79"/>
    <w:rsid w:val="173D7C93"/>
    <w:rsid w:val="185B264E"/>
    <w:rsid w:val="19827322"/>
    <w:rsid w:val="19AF3673"/>
    <w:rsid w:val="1BD60917"/>
    <w:rsid w:val="1C810F48"/>
    <w:rsid w:val="1C983B02"/>
    <w:rsid w:val="1D9F3630"/>
    <w:rsid w:val="1E7D45DF"/>
    <w:rsid w:val="1E9A01A4"/>
    <w:rsid w:val="1EF64C7A"/>
    <w:rsid w:val="225342A9"/>
    <w:rsid w:val="229224B2"/>
    <w:rsid w:val="22AE0C67"/>
    <w:rsid w:val="23197CF8"/>
    <w:rsid w:val="234D0B66"/>
    <w:rsid w:val="23BD6714"/>
    <w:rsid w:val="23E81BDC"/>
    <w:rsid w:val="2500648E"/>
    <w:rsid w:val="266F203A"/>
    <w:rsid w:val="26992DA9"/>
    <w:rsid w:val="26DE09CD"/>
    <w:rsid w:val="27347CF5"/>
    <w:rsid w:val="27B54C29"/>
    <w:rsid w:val="285B082D"/>
    <w:rsid w:val="29B734A5"/>
    <w:rsid w:val="29E31BC6"/>
    <w:rsid w:val="2AAE0CC6"/>
    <w:rsid w:val="2AD77BA1"/>
    <w:rsid w:val="2B484610"/>
    <w:rsid w:val="2BEB40A3"/>
    <w:rsid w:val="2D5A64E9"/>
    <w:rsid w:val="2DF13409"/>
    <w:rsid w:val="2EAA3A90"/>
    <w:rsid w:val="2F5116CC"/>
    <w:rsid w:val="2F511878"/>
    <w:rsid w:val="2FD91986"/>
    <w:rsid w:val="310B5C98"/>
    <w:rsid w:val="34803B27"/>
    <w:rsid w:val="376907F6"/>
    <w:rsid w:val="386E7D5A"/>
    <w:rsid w:val="39480E59"/>
    <w:rsid w:val="399C4C6D"/>
    <w:rsid w:val="3B332B71"/>
    <w:rsid w:val="3CFE4189"/>
    <w:rsid w:val="3D5246B8"/>
    <w:rsid w:val="3E046EDE"/>
    <w:rsid w:val="3F630A9C"/>
    <w:rsid w:val="3F716C78"/>
    <w:rsid w:val="3F8A6415"/>
    <w:rsid w:val="3FBC00DA"/>
    <w:rsid w:val="3FDB4DC4"/>
    <w:rsid w:val="3FF45D15"/>
    <w:rsid w:val="40B7624A"/>
    <w:rsid w:val="40DD4172"/>
    <w:rsid w:val="410834A6"/>
    <w:rsid w:val="418C35F9"/>
    <w:rsid w:val="41CF0F45"/>
    <w:rsid w:val="41F520AA"/>
    <w:rsid w:val="42122BE1"/>
    <w:rsid w:val="437473E8"/>
    <w:rsid w:val="437A7E60"/>
    <w:rsid w:val="43E63672"/>
    <w:rsid w:val="48224EC3"/>
    <w:rsid w:val="484033DC"/>
    <w:rsid w:val="48F460E1"/>
    <w:rsid w:val="49EA1FF9"/>
    <w:rsid w:val="4A002BAB"/>
    <w:rsid w:val="4A575FFA"/>
    <w:rsid w:val="4B42482D"/>
    <w:rsid w:val="4BDB5B93"/>
    <w:rsid w:val="4C0A7238"/>
    <w:rsid w:val="4C254127"/>
    <w:rsid w:val="4CA570EE"/>
    <w:rsid w:val="4CAF6084"/>
    <w:rsid w:val="4E0D0541"/>
    <w:rsid w:val="4E9805EA"/>
    <w:rsid w:val="4F8C305F"/>
    <w:rsid w:val="4FEE681F"/>
    <w:rsid w:val="50340351"/>
    <w:rsid w:val="51633DAF"/>
    <w:rsid w:val="51DC6A73"/>
    <w:rsid w:val="53FB052D"/>
    <w:rsid w:val="54223CC7"/>
    <w:rsid w:val="54460FB2"/>
    <w:rsid w:val="545C1C9B"/>
    <w:rsid w:val="54C555AD"/>
    <w:rsid w:val="551B27E3"/>
    <w:rsid w:val="576347EE"/>
    <w:rsid w:val="57B569F9"/>
    <w:rsid w:val="583D264D"/>
    <w:rsid w:val="584D53C4"/>
    <w:rsid w:val="58A36694"/>
    <w:rsid w:val="58B66A2C"/>
    <w:rsid w:val="58FD51D7"/>
    <w:rsid w:val="5A57747E"/>
    <w:rsid w:val="5ACF50D0"/>
    <w:rsid w:val="5AE25306"/>
    <w:rsid w:val="5AE72CD6"/>
    <w:rsid w:val="5B336ABF"/>
    <w:rsid w:val="5B7C5CD7"/>
    <w:rsid w:val="5B7F298C"/>
    <w:rsid w:val="5C4545B1"/>
    <w:rsid w:val="5C6E726E"/>
    <w:rsid w:val="5C921BB0"/>
    <w:rsid w:val="5E4F7AE8"/>
    <w:rsid w:val="5EA87DE4"/>
    <w:rsid w:val="5F9C6BA3"/>
    <w:rsid w:val="5FDA7C55"/>
    <w:rsid w:val="60C55D5C"/>
    <w:rsid w:val="61433A11"/>
    <w:rsid w:val="63005D83"/>
    <w:rsid w:val="6391781E"/>
    <w:rsid w:val="63B06D3E"/>
    <w:rsid w:val="64E37E6E"/>
    <w:rsid w:val="64F675A1"/>
    <w:rsid w:val="656A50FA"/>
    <w:rsid w:val="668C5224"/>
    <w:rsid w:val="66AE3318"/>
    <w:rsid w:val="66AF0E9B"/>
    <w:rsid w:val="67000C11"/>
    <w:rsid w:val="675C07EE"/>
    <w:rsid w:val="67DF678B"/>
    <w:rsid w:val="688008CB"/>
    <w:rsid w:val="691611AA"/>
    <w:rsid w:val="694009A9"/>
    <w:rsid w:val="695160E7"/>
    <w:rsid w:val="6B0C095C"/>
    <w:rsid w:val="6C45065D"/>
    <w:rsid w:val="6D210869"/>
    <w:rsid w:val="6D232646"/>
    <w:rsid w:val="6D8903AC"/>
    <w:rsid w:val="6E424518"/>
    <w:rsid w:val="6E7E5BDC"/>
    <w:rsid w:val="6E8265EF"/>
    <w:rsid w:val="6F756606"/>
    <w:rsid w:val="6FCA58E0"/>
    <w:rsid w:val="701172F1"/>
    <w:rsid w:val="710028BF"/>
    <w:rsid w:val="71A4276A"/>
    <w:rsid w:val="7334616A"/>
    <w:rsid w:val="73CF6F7C"/>
    <w:rsid w:val="746300C7"/>
    <w:rsid w:val="7568350E"/>
    <w:rsid w:val="762329EF"/>
    <w:rsid w:val="76A068AF"/>
    <w:rsid w:val="77896B7B"/>
    <w:rsid w:val="787E7D6F"/>
    <w:rsid w:val="79CD6CCA"/>
    <w:rsid w:val="7A0913FF"/>
    <w:rsid w:val="7A0E633A"/>
    <w:rsid w:val="7ABD07A6"/>
    <w:rsid w:val="7BB10B5D"/>
    <w:rsid w:val="7CEE5040"/>
    <w:rsid w:val="7D2060EE"/>
    <w:rsid w:val="7E45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5">
    <w:name w:val="toc 5"/>
    <w:basedOn w:val="1"/>
    <w:next w:val="1"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6">
    <w:name w:val="toc 3"/>
    <w:basedOn w:val="1"/>
    <w:next w:val="1"/>
    <w:unhideWhenUsed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toc 8"/>
    <w:basedOn w:val="1"/>
    <w:next w:val="1"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3">
    <w:name w:val="toc 4"/>
    <w:basedOn w:val="1"/>
    <w:next w:val="1"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14">
    <w:name w:val="toc 6"/>
    <w:basedOn w:val="1"/>
    <w:next w:val="1"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tabs>
        <w:tab w:val="right" w:leader="dot" w:pos="4413"/>
      </w:tabs>
      <w:spacing w:line="340" w:lineRule="exact"/>
      <w:ind w:firstLine="200" w:firstLineChars="100"/>
      <w:jc w:val="distribute"/>
    </w:pPr>
    <w:rPr>
      <w:smallCaps/>
      <w:sz w:val="20"/>
      <w:szCs w:val="20"/>
    </w:rPr>
  </w:style>
  <w:style w:type="paragraph" w:styleId="16">
    <w:name w:val="toc 9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1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9">
    <w:name w:val="Table Grid"/>
    <w:basedOn w:val="1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页眉 Char"/>
    <w:basedOn w:val="20"/>
    <w:link w:val="11"/>
    <w:semiHidden/>
    <w:qFormat/>
    <w:uiPriority w:val="99"/>
    <w:rPr>
      <w:rFonts w:ascii="Tahoma" w:hAnsi="Tahoma"/>
      <w:sz w:val="18"/>
      <w:szCs w:val="18"/>
    </w:rPr>
  </w:style>
  <w:style w:type="character" w:customStyle="1" w:styleId="23">
    <w:name w:val="页脚 Char"/>
    <w:basedOn w:val="20"/>
    <w:link w:val="10"/>
    <w:qFormat/>
    <w:uiPriority w:val="99"/>
    <w:rPr>
      <w:rFonts w:ascii="Tahoma" w:hAnsi="Tahoma"/>
      <w:sz w:val="18"/>
      <w:szCs w:val="18"/>
    </w:rPr>
  </w:style>
  <w:style w:type="character" w:customStyle="1" w:styleId="24">
    <w:name w:val="批注框文本 Char"/>
    <w:basedOn w:val="20"/>
    <w:link w:val="9"/>
    <w:semiHidden/>
    <w:qFormat/>
    <w:uiPriority w:val="99"/>
    <w:rPr>
      <w:rFonts w:eastAsiaTheme="minorEastAsia"/>
      <w:kern w:val="2"/>
      <w:sz w:val="18"/>
      <w:szCs w:val="18"/>
    </w:rPr>
  </w:style>
  <w:style w:type="character" w:customStyle="1" w:styleId="25">
    <w:name w:val="标题 1 Char"/>
    <w:basedOn w:val="20"/>
    <w:link w:val="2"/>
    <w:qFormat/>
    <w:uiPriority w:val="9"/>
    <w:rPr>
      <w:rFonts w:eastAsiaTheme="minorEastAsia"/>
      <w:b/>
      <w:bCs/>
      <w:kern w:val="44"/>
      <w:sz w:val="44"/>
      <w:szCs w:val="44"/>
    </w:rPr>
  </w:style>
  <w:style w:type="character" w:customStyle="1" w:styleId="26">
    <w:name w:val="标题 2 Char"/>
    <w:basedOn w:val="20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image" Target="media/image1.png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Administrator\AppData\Local\Temp\Rar$DIa0.358\Export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AppData\Local\Temp\Rar$DIa0.358\Export.xls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C:\Users\Administrator\AppData\Local\Temp\Rar$DIa0.358\Export.xls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/>
              <a:t>图</a:t>
            </a:r>
            <a:r>
              <a:rPr lang="en-US" altLang="zh-CN" sz="1050"/>
              <a:t>1</a:t>
            </a:r>
            <a:r>
              <a:rPr altLang="en-US" sz="1050"/>
              <a:t>、</a:t>
            </a:r>
            <a:r>
              <a:rPr lang="en-US" altLang="zh-CN" sz="1050"/>
              <a:t>2013-2018</a:t>
            </a:r>
            <a:r>
              <a:rPr altLang="en-US" sz="1050"/>
              <a:t>年</a:t>
            </a:r>
            <a:r>
              <a:rPr lang="en-US" altLang="zh-CN" sz="1050"/>
              <a:t>GDP</a:t>
            </a:r>
            <a:r>
              <a:rPr altLang="en-US" sz="1050"/>
              <a:t>总量及增幅</a:t>
            </a:r>
            <a:endParaRPr altLang="en-US" sz="105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[Export.xls]Sheet1!$F$7</c:f>
              <c:strCache>
                <c:ptCount val="1"/>
                <c:pt idx="0">
                  <c:v>GDP总量（亿元）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[Export.xls]Sheet1!$G$6:$L$6</c:f>
              <c:strCache>
                <c:ptCount val="6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  <c:pt idx="5">
                  <c:v>2018年</c:v>
                </c:pt>
              </c:strCache>
            </c:strRef>
          </c:cat>
          <c:val>
            <c:numRef>
              <c:f>[Export.xls]Sheet1!$G$7:$L$7</c:f>
              <c:numCache>
                <c:formatCode>General</c:formatCode>
                <c:ptCount val="6"/>
                <c:pt idx="0">
                  <c:v>260.05</c:v>
                </c:pt>
                <c:pt idx="1">
                  <c:v>280.38</c:v>
                </c:pt>
                <c:pt idx="2">
                  <c:v>286.32</c:v>
                </c:pt>
                <c:pt idx="3">
                  <c:v>299.07</c:v>
                </c:pt>
                <c:pt idx="4">
                  <c:v>326.53</c:v>
                </c:pt>
                <c:pt idx="5">
                  <c:v>337.86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967586336"/>
        <c:axId val="772334590"/>
      </c:barChart>
      <c:lineChart>
        <c:grouping val="standard"/>
        <c:varyColors val="0"/>
        <c:ser>
          <c:idx val="1"/>
          <c:order val="1"/>
          <c:tx>
            <c:strRef>
              <c:f>[Export.xls]Sheet1!$F$8</c:f>
              <c:strCache>
                <c:ptCount val="1"/>
                <c:pt idx="0">
                  <c:v>增幅（%）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[Export.xls]Sheet1!$G$6:$L$6</c:f>
              <c:strCache>
                <c:ptCount val="6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  <c:pt idx="5">
                  <c:v>2018年</c:v>
                </c:pt>
              </c:strCache>
            </c:strRef>
          </c:cat>
          <c:val>
            <c:numRef>
              <c:f>[Export.xls]Sheet1!$G$8:$L$8</c:f>
              <c:numCache>
                <c:formatCode>General</c:formatCode>
                <c:ptCount val="6"/>
                <c:pt idx="0">
                  <c:v>10.6</c:v>
                </c:pt>
                <c:pt idx="1">
                  <c:v>9</c:v>
                </c:pt>
                <c:pt idx="2">
                  <c:v>6.1</c:v>
                </c:pt>
                <c:pt idx="3">
                  <c:v>6.6</c:v>
                </c:pt>
                <c:pt idx="4">
                  <c:v>7</c:v>
                </c:pt>
                <c:pt idx="5">
                  <c:v>4.1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77348815"/>
        <c:axId val="768146863"/>
      </c:lineChart>
      <c:catAx>
        <c:axId val="9675863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rgbClr val="5B9BD5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72334590"/>
        <c:crosses val="autoZero"/>
        <c:auto val="1"/>
        <c:lblAlgn val="ctr"/>
        <c:lblOffset val="100"/>
        <c:noMultiLvlLbl val="0"/>
      </c:catAx>
      <c:valAx>
        <c:axId val="77233459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67586336"/>
        <c:crosses val="autoZero"/>
        <c:crossBetween val="between"/>
      </c:valAx>
      <c:catAx>
        <c:axId val="77348815"/>
        <c:scaling>
          <c:orientation val="minMax"/>
        </c:scaling>
        <c:delete val="1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8146863"/>
        <c:crosses val="autoZero"/>
        <c:auto val="1"/>
        <c:lblAlgn val="ctr"/>
        <c:lblOffset val="100"/>
        <c:noMultiLvlLbl val="0"/>
      </c:catAx>
      <c:valAx>
        <c:axId val="768146863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solidFill>
              <a:srgbClr val="5B9BD5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7348815"/>
        <c:crosses val="max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/>
              <a:t>图</a:t>
            </a:r>
            <a:r>
              <a:rPr lang="en-US" altLang="zh-CN" sz="900"/>
              <a:t>2</a:t>
            </a:r>
            <a:r>
              <a:rPr altLang="en-US" sz="900"/>
              <a:t>、三次产业所占比重图</a:t>
            </a:r>
            <a:endParaRPr altLang="en-US" sz="9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[Export.xls]Sheet1!$H$11</c:f>
              <c:strCache>
                <c:ptCount val="1"/>
                <c:pt idx="0">
                  <c:v>比重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[Export.xls]Sheet1!$G$12:$G$14</c:f>
              <c:strCache>
                <c:ptCount val="3"/>
                <c:pt idx="0">
                  <c:v>第一产业（%）</c:v>
                </c:pt>
                <c:pt idx="1">
                  <c:v>第二产业（%）</c:v>
                </c:pt>
                <c:pt idx="2">
                  <c:v>第三产业（%）</c:v>
                </c:pt>
              </c:strCache>
            </c:strRef>
          </c:cat>
          <c:val>
            <c:numRef>
              <c:f>[Export.xls]Sheet1!$H$12:$H$14</c:f>
              <c:numCache>
                <c:formatCode>General</c:formatCode>
                <c:ptCount val="3"/>
                <c:pt idx="0">
                  <c:v>4</c:v>
                </c:pt>
                <c:pt idx="1">
                  <c:v>55.4</c:v>
                </c:pt>
                <c:pt idx="2">
                  <c:v>40.6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7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7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7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0390592188156237"/>
          <c:y val="0.826468344774981"/>
          <c:w val="0.916421671566569"/>
          <c:h val="0.121662852784134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7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1</a:t>
            </a:r>
            <a:r>
              <a:rPr altLang="en-US"/>
              <a:t>、</a:t>
            </a:r>
            <a:r>
              <a:rPr lang="en-US" altLang="zh-CN"/>
              <a:t>2013-2018</a:t>
            </a:r>
            <a:r>
              <a:rPr altLang="en-US"/>
              <a:t>年</a:t>
            </a:r>
            <a:r>
              <a:rPr lang="en-US" altLang="zh-CN"/>
              <a:t>GDP</a:t>
            </a:r>
            <a:r>
              <a:rPr altLang="en-US"/>
              <a:t>总量及增幅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[Export.xls]Sheet1!$F$7</c:f>
              <c:strCache>
                <c:ptCount val="1"/>
                <c:pt idx="0">
                  <c:v>GDP总量（亿元）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[Export.xls]Sheet1!$G$6:$L$6</c:f>
              <c:strCache>
                <c:ptCount val="6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  <c:pt idx="5">
                  <c:v>2018年</c:v>
                </c:pt>
              </c:strCache>
            </c:strRef>
          </c:cat>
          <c:val>
            <c:numRef>
              <c:f>[Export.xls]Sheet1!$G$7:$L$7</c:f>
              <c:numCache>
                <c:formatCode>General</c:formatCode>
                <c:ptCount val="6"/>
                <c:pt idx="0">
                  <c:v>260.05</c:v>
                </c:pt>
                <c:pt idx="1">
                  <c:v>280.38</c:v>
                </c:pt>
                <c:pt idx="2">
                  <c:v>286.32</c:v>
                </c:pt>
                <c:pt idx="3">
                  <c:v>299.07</c:v>
                </c:pt>
                <c:pt idx="4">
                  <c:v>326.53</c:v>
                </c:pt>
                <c:pt idx="5">
                  <c:v>337.86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967586336"/>
        <c:axId val="772334590"/>
      </c:barChart>
      <c:lineChart>
        <c:grouping val="standard"/>
        <c:varyColors val="0"/>
        <c:ser>
          <c:idx val="1"/>
          <c:order val="1"/>
          <c:tx>
            <c:strRef>
              <c:f>[Export.xls]Sheet1!$F$8</c:f>
              <c:strCache>
                <c:ptCount val="1"/>
                <c:pt idx="0">
                  <c:v>增幅（%）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[Export.xls]Sheet1!$G$6:$L$6</c:f>
              <c:strCache>
                <c:ptCount val="6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  <c:pt idx="5">
                  <c:v>2018年</c:v>
                </c:pt>
              </c:strCache>
            </c:strRef>
          </c:cat>
          <c:val>
            <c:numRef>
              <c:f>[Export.xls]Sheet1!$G$8:$L$8</c:f>
              <c:numCache>
                <c:formatCode>General</c:formatCode>
                <c:ptCount val="6"/>
                <c:pt idx="0">
                  <c:v>10.6</c:v>
                </c:pt>
                <c:pt idx="1">
                  <c:v>9</c:v>
                </c:pt>
                <c:pt idx="2">
                  <c:v>6.1</c:v>
                </c:pt>
                <c:pt idx="3">
                  <c:v>6.6</c:v>
                </c:pt>
                <c:pt idx="4">
                  <c:v>7</c:v>
                </c:pt>
                <c:pt idx="5">
                  <c:v>4.1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77348815"/>
        <c:axId val="768146863"/>
      </c:lineChart>
      <c:catAx>
        <c:axId val="9675863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rgbClr val="5B9BD5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72334590"/>
        <c:crosses val="autoZero"/>
        <c:auto val="1"/>
        <c:lblAlgn val="ctr"/>
        <c:lblOffset val="100"/>
        <c:noMultiLvlLbl val="0"/>
      </c:catAx>
      <c:valAx>
        <c:axId val="77233459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67586336"/>
        <c:crosses val="autoZero"/>
        <c:crossBetween val="between"/>
      </c:valAx>
      <c:catAx>
        <c:axId val="77348815"/>
        <c:scaling>
          <c:orientation val="minMax"/>
        </c:scaling>
        <c:delete val="1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8146863"/>
        <c:crosses val="autoZero"/>
        <c:auto val="1"/>
        <c:lblAlgn val="ctr"/>
        <c:lblOffset val="100"/>
        <c:noMultiLvlLbl val="0"/>
      </c:catAx>
      <c:valAx>
        <c:axId val="768146863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solidFill>
              <a:srgbClr val="5B9BD5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7348815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3</a:t>
            </a:r>
            <a:r>
              <a:rPr altLang="en-US"/>
              <a:t>、</a:t>
            </a:r>
            <a:r>
              <a:rPr lang="en-US" altLang="zh-CN"/>
              <a:t>2013-2018</a:t>
            </a:r>
            <a:r>
              <a:rPr altLang="en-US"/>
              <a:t>年公共财政预算收入及增幅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[工作簿1]Sheet1!$B$1</c:f>
              <c:strCache>
                <c:ptCount val="1"/>
                <c:pt idx="0">
                  <c:v>公共财政预算收入合计（亿元）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[工作簿1]Sheet1!$A$2:$A$7</c:f>
              <c:strCache>
                <c:ptCount val="6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  <c:pt idx="5">
                  <c:v>2018年</c:v>
                </c:pt>
              </c:strCache>
            </c:strRef>
          </c:cat>
          <c:val>
            <c:numRef>
              <c:f>[工作簿1]Sheet1!$B$2:$B$7</c:f>
              <c:numCache>
                <c:formatCode>General</c:formatCode>
                <c:ptCount val="6"/>
                <c:pt idx="0">
                  <c:v>12.45</c:v>
                </c:pt>
                <c:pt idx="1">
                  <c:v>14.9</c:v>
                </c:pt>
                <c:pt idx="2">
                  <c:v>16.09</c:v>
                </c:pt>
                <c:pt idx="3">
                  <c:v>14.67</c:v>
                </c:pt>
                <c:pt idx="4">
                  <c:v>14.45</c:v>
                </c:pt>
                <c:pt idx="5">
                  <c:v>14.48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666524824"/>
        <c:axId val="31401117"/>
      </c:barChart>
      <c:lineChart>
        <c:grouping val="standard"/>
        <c:varyColors val="0"/>
        <c:ser>
          <c:idx val="1"/>
          <c:order val="1"/>
          <c:tx>
            <c:strRef>
              <c:f>[工作簿1]Sheet1!$C$1</c:f>
              <c:strCache>
                <c:ptCount val="1"/>
                <c:pt idx="0">
                  <c:v>增幅（%）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[工作簿1]Sheet1!$A$2:$A$7</c:f>
              <c:strCache>
                <c:ptCount val="6"/>
                <c:pt idx="0">
                  <c:v>2013年</c:v>
                </c:pt>
                <c:pt idx="1">
                  <c:v>2014年</c:v>
                </c:pt>
                <c:pt idx="2">
                  <c:v>2015年</c:v>
                </c:pt>
                <c:pt idx="3">
                  <c:v>2016年</c:v>
                </c:pt>
                <c:pt idx="4">
                  <c:v>2017年</c:v>
                </c:pt>
                <c:pt idx="5">
                  <c:v>2018年</c:v>
                </c:pt>
              </c:strCache>
            </c:strRef>
          </c:cat>
          <c:val>
            <c:numRef>
              <c:f>[工作簿1]Sheet1!$C$2:$C$7</c:f>
              <c:numCache>
                <c:formatCode>General</c:formatCode>
                <c:ptCount val="6"/>
                <c:pt idx="0">
                  <c:v>0.1</c:v>
                </c:pt>
                <c:pt idx="1">
                  <c:v>6</c:v>
                </c:pt>
                <c:pt idx="2">
                  <c:v>8</c:v>
                </c:pt>
                <c:pt idx="3">
                  <c:v>8.3</c:v>
                </c:pt>
                <c:pt idx="4">
                  <c:v>4</c:v>
                </c:pt>
                <c:pt idx="5">
                  <c:v>0.2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895852716"/>
        <c:axId val="941431481"/>
      </c:lineChart>
      <c:catAx>
        <c:axId val="66652482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1401117"/>
        <c:crosses val="autoZero"/>
        <c:auto val="1"/>
        <c:lblAlgn val="ctr"/>
        <c:lblOffset val="100"/>
        <c:noMultiLvlLbl val="0"/>
      </c:catAx>
      <c:valAx>
        <c:axId val="3140111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6524824"/>
        <c:crosses val="autoZero"/>
        <c:crossBetween val="between"/>
      </c:valAx>
      <c:catAx>
        <c:axId val="895852716"/>
        <c:scaling>
          <c:orientation val="minMax"/>
        </c:scaling>
        <c:delete val="1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41431481"/>
        <c:crosses val="autoZero"/>
        <c:auto val="1"/>
        <c:lblAlgn val="ctr"/>
        <c:lblOffset val="100"/>
        <c:noMultiLvlLbl val="0"/>
      </c:catAx>
      <c:valAx>
        <c:axId val="941431481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9585271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87F7A5-AE35-4559-AEF0-AEA73BB94D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23</Pages>
  <Words>1361</Words>
  <Characters>7764</Characters>
  <Lines>64</Lines>
  <Paragraphs>18</Paragraphs>
  <TotalTime>12</TotalTime>
  <ScaleCrop>false</ScaleCrop>
  <LinksUpToDate>false</LinksUpToDate>
  <CharactersWithSpaces>9107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2018-06-15T00:28:00Z</dcterms:created>
  <dc:creator>Administrator</dc:creator>
  <cp:lastModifiedBy>韩</cp:lastModifiedBy>
  <cp:lastPrinted>2018-06-12T02:07:00Z</cp:lastPrinted>
  <dcterms:modified xsi:type="dcterms:W3CDTF">2019-06-21T03:16:30Z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