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FA" w:rsidRPr="00B973FD" w:rsidRDefault="00C374FA">
      <w:pPr>
        <w:spacing w:line="57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973FD">
        <w:rPr>
          <w:rFonts w:ascii="Times New Roman" w:eastAsia="方正小标宋简体" w:hAnsi="Times New Roman" w:hint="eastAsia"/>
          <w:sz w:val="44"/>
          <w:szCs w:val="44"/>
        </w:rPr>
        <w:t>薛城区市场监管局</w:t>
      </w:r>
      <w:r w:rsidRPr="00B973FD">
        <w:rPr>
          <w:rFonts w:ascii="Times New Roman" w:eastAsia="方正小标宋简体" w:hAnsi="Times New Roman"/>
          <w:sz w:val="44"/>
          <w:szCs w:val="44"/>
        </w:rPr>
        <w:t>“</w:t>
      </w:r>
      <w:r w:rsidRPr="00B973FD">
        <w:rPr>
          <w:rFonts w:ascii="Times New Roman" w:eastAsia="方正小标宋简体" w:hAnsi="Times New Roman" w:hint="eastAsia"/>
          <w:sz w:val="44"/>
          <w:szCs w:val="44"/>
        </w:rPr>
        <w:t>十四五</w:t>
      </w:r>
      <w:r w:rsidRPr="00B973FD">
        <w:rPr>
          <w:rFonts w:ascii="Times New Roman" w:eastAsia="方正小标宋简体" w:hAnsi="Times New Roman"/>
          <w:sz w:val="44"/>
          <w:szCs w:val="44"/>
        </w:rPr>
        <w:t>”</w:t>
      </w:r>
      <w:r w:rsidRPr="00B973FD">
        <w:rPr>
          <w:rFonts w:ascii="Times New Roman" w:eastAsia="方正小标宋简体" w:hAnsi="Times New Roman" w:hint="eastAsia"/>
          <w:sz w:val="44"/>
          <w:szCs w:val="44"/>
        </w:rPr>
        <w:t>工作谋划</w:t>
      </w:r>
    </w:p>
    <w:p w:rsidR="00C374FA" w:rsidRPr="00B973FD" w:rsidRDefault="00C374FA">
      <w:pPr>
        <w:spacing w:line="57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C374FA" w:rsidRPr="00B973FD" w:rsidRDefault="00C374FA" w:rsidP="00A46E61">
      <w:pPr>
        <w:pStyle w:val="NormalWeb"/>
        <w:shd w:val="clear" w:color="auto" w:fill="FFFFFF"/>
        <w:spacing w:before="0" w:beforeAutospacing="0" w:after="0" w:afterAutospacing="0" w:line="570" w:lineRule="exact"/>
        <w:jc w:val="both"/>
        <w:textAlignment w:val="baseline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 w:rsidRPr="00B973FD">
        <w:rPr>
          <w:rFonts w:ascii="Times New Roman" w:eastAsia="黑体" w:hAnsi="黑体" w:cs="Times New Roman" w:hint="eastAsia"/>
          <w:bCs/>
          <w:kern w:val="2"/>
          <w:sz w:val="32"/>
          <w:szCs w:val="32"/>
        </w:rPr>
        <w:t>一、总体目标</w:t>
      </w:r>
    </w:p>
    <w:p w:rsidR="00C374FA" w:rsidRPr="00B973FD" w:rsidRDefault="00C374FA">
      <w:pPr>
        <w:pStyle w:val="NormalWeb"/>
        <w:shd w:val="clear" w:color="auto" w:fill="FFFFFF"/>
        <w:spacing w:before="0" w:beforeAutospacing="0" w:after="0" w:afterAutospacing="0" w:line="570" w:lineRule="exact"/>
        <w:ind w:firstLine="480"/>
        <w:jc w:val="both"/>
        <w:textAlignment w:val="baseline"/>
        <w:rPr>
          <w:rFonts w:ascii="Times New Roman" w:eastAsia="仿宋_GB2312" w:hAnsi="Times New Roman" w:cs="Times New Roman"/>
          <w:color w:val="252525"/>
          <w:sz w:val="27"/>
          <w:szCs w:val="27"/>
        </w:rPr>
      </w:pPr>
      <w:r w:rsidRPr="00B973FD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B973FD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B973FD">
        <w:rPr>
          <w:rFonts w:ascii="Times New Roman" w:eastAsia="仿宋_GB2312" w:hAnsi="Times New Roman" w:cs="Times New Roman" w:hint="eastAsia"/>
          <w:sz w:val="32"/>
          <w:szCs w:val="32"/>
        </w:rPr>
        <w:t>年，基本建成统一开放、竞争有序、诚信守法、监管有力的现代市场体系，形成创新创业、公平竞争、安全放心的市场营商环境，形成市场导向、标准引领、质量为本的质量强区体系，形成法治保障、科技支撑、多元共治的市场治理格</w:t>
      </w:r>
      <w:r w:rsidRPr="00B973FD">
        <w:rPr>
          <w:rFonts w:ascii="Times New Roman" w:eastAsia="仿宋_GB2312" w:hAnsi="Times New Roman" w:cs="Times New Roman" w:hint="eastAsia"/>
          <w:color w:val="252525"/>
          <w:sz w:val="27"/>
          <w:szCs w:val="27"/>
        </w:rPr>
        <w:t>局。</w:t>
      </w:r>
    </w:p>
    <w:p w:rsidR="00C374FA" w:rsidRPr="00B973FD" w:rsidRDefault="00C374FA" w:rsidP="00A46E61">
      <w:pPr>
        <w:pStyle w:val="NormalWeb"/>
        <w:shd w:val="clear" w:color="auto" w:fill="FFFFFF"/>
        <w:spacing w:before="0" w:beforeAutospacing="0" w:after="0" w:afterAutospacing="0" w:line="570" w:lineRule="exact"/>
        <w:jc w:val="both"/>
        <w:textAlignment w:val="baseline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bookmarkStart w:id="0" w:name="_GoBack"/>
      <w:r w:rsidRPr="00B973FD">
        <w:rPr>
          <w:rFonts w:ascii="Times New Roman" w:eastAsia="黑体" w:hAnsi="黑体" w:cs="Times New Roman" w:hint="eastAsia"/>
          <w:bCs/>
          <w:kern w:val="2"/>
          <w:sz w:val="32"/>
          <w:szCs w:val="32"/>
        </w:rPr>
        <w:t>二、十四五时期工作重点</w:t>
      </w:r>
    </w:p>
    <w:bookmarkEnd w:id="0"/>
    <w:p w:rsidR="00C374FA" w:rsidRPr="00B973FD" w:rsidRDefault="00C374FA">
      <w:pPr>
        <w:pStyle w:val="NormalWeb"/>
        <w:shd w:val="clear" w:color="auto" w:fill="FFFFFF"/>
        <w:spacing w:before="0" w:beforeAutospacing="0" w:after="0" w:afterAutospacing="0" w:line="570" w:lineRule="exact"/>
        <w:ind w:firstLine="480"/>
        <w:jc w:val="both"/>
        <w:textAlignment w:val="baseline"/>
        <w:rPr>
          <w:rFonts w:ascii="Times New Roman" w:eastAsia="仿宋_GB2312" w:hAnsi="Times New Roman" w:cs="Times New Roman"/>
          <w:color w:val="252525"/>
          <w:sz w:val="32"/>
          <w:szCs w:val="32"/>
        </w:rPr>
      </w:pPr>
      <w:r w:rsidRPr="00B973FD">
        <w:rPr>
          <w:rStyle w:val="Strong"/>
          <w:rFonts w:ascii="Times New Roman" w:eastAsia="楷体" w:hAnsi="Times New Roman"/>
          <w:b w:val="0"/>
          <w:color w:val="252525"/>
          <w:sz w:val="32"/>
          <w:szCs w:val="32"/>
        </w:rPr>
        <w:t>1</w:t>
      </w:r>
      <w:r w:rsidRPr="00B973FD">
        <w:rPr>
          <w:rStyle w:val="Strong"/>
          <w:rFonts w:ascii="Times New Roman" w:eastAsia="楷体" w:hAnsi="楷体" w:hint="eastAsia"/>
          <w:b w:val="0"/>
          <w:color w:val="252525"/>
          <w:sz w:val="32"/>
          <w:szCs w:val="32"/>
        </w:rPr>
        <w:t>、全面加强监管执法，营造公平有序的市场竞争环境</w:t>
      </w:r>
      <w:r w:rsidRPr="00B973FD">
        <w:rPr>
          <w:rFonts w:ascii="Times New Roman" w:eastAsia="楷体" w:hAnsi="楷体" w:cs="Times New Roman" w:hint="eastAsia"/>
          <w:b/>
          <w:color w:val="252525"/>
          <w:sz w:val="32"/>
          <w:szCs w:val="32"/>
        </w:rPr>
        <w:t>。</w:t>
      </w:r>
      <w:r w:rsidRPr="00B973FD">
        <w:rPr>
          <w:rStyle w:val="Strong"/>
          <w:rFonts w:ascii="Times New Roman" w:eastAsia="楷体" w:hAnsi="楷体" w:hint="eastAsia"/>
          <w:b w:val="0"/>
          <w:color w:val="252525"/>
          <w:sz w:val="32"/>
          <w:szCs w:val="32"/>
        </w:rPr>
        <w:t>加强网络市场监管</w:t>
      </w:r>
      <w:r w:rsidRPr="00B973FD">
        <w:rPr>
          <w:rFonts w:ascii="Times New Roman" w:eastAsia="楷体" w:hAnsi="楷体" w:cs="Times New Roman" w:hint="eastAsia"/>
          <w:b/>
          <w:color w:val="252525"/>
          <w:sz w:val="32"/>
          <w:szCs w:val="32"/>
        </w:rPr>
        <w:t>。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坚持依法依规监管，推进依法管网，引导、督促网络交易平台落实相关责任，规范网络商品和服务经营者行为，防范网络交易风险，提高网络市场监管的制度化、规范化、法治化水平。加强对网络售假、虚假宣传、虚假促销、刷单炒信、恶意诋毁等违法行为的治理，净化网络市场环境。</w:t>
      </w:r>
      <w:r w:rsidRPr="00B973FD">
        <w:rPr>
          <w:rFonts w:ascii="Times New Roman" w:eastAsia="仿宋_GB2312" w:hAnsi="Times New Roman" w:cs="Times New Roman" w:hint="eastAsia"/>
          <w:bCs/>
          <w:sz w:val="32"/>
          <w:szCs w:val="32"/>
        </w:rPr>
        <w:t>加强广告监管。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认真贯彻落实习近平总书记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>“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广告宣传也要讲导向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>”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的重要指示精神，坚持正确的政治方向、舆论导向和价值取向，不断强化广告导向监管。大力开展虚假违法广告专项整治，持续保持高压态势。</w:t>
      </w:r>
      <w:r w:rsidRPr="00B973FD">
        <w:rPr>
          <w:rFonts w:ascii="Times New Roman" w:eastAsia="仿宋_GB2312" w:hAnsi="Times New Roman" w:cs="Times New Roman" w:hint="eastAsia"/>
          <w:bCs/>
          <w:color w:val="252525"/>
          <w:sz w:val="32"/>
          <w:szCs w:val="32"/>
        </w:rPr>
        <w:t>加强价格监管。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围绕保障和改善民生，持续加强水电气、教育、医疗、电商、物业、停车等民生重点领域价格行为监管，严肃查处价格违法违规行为，维护百姓合法权益。聚焦社会热点、重要节点，突出抓好节假日市场价格监管，及时处理价格投诉举报，疏解价费矛盾，规范市场价格行为。</w:t>
      </w:r>
      <w:r w:rsidRPr="00B973FD">
        <w:rPr>
          <w:rFonts w:ascii="Times New Roman" w:eastAsia="仿宋_GB2312" w:hAnsi="Times New Roman" w:cs="Times New Roman" w:hint="eastAsia"/>
          <w:bCs/>
          <w:color w:val="252525"/>
          <w:sz w:val="32"/>
          <w:szCs w:val="32"/>
        </w:rPr>
        <w:t>健全</w:t>
      </w:r>
      <w:r w:rsidRPr="00B973FD">
        <w:rPr>
          <w:rFonts w:ascii="Times New Roman" w:eastAsia="仿宋_GB2312" w:hAnsi="Times New Roman" w:cs="Times New Roman"/>
          <w:bCs/>
          <w:color w:val="252525"/>
          <w:sz w:val="32"/>
          <w:szCs w:val="32"/>
        </w:rPr>
        <w:t>“</w:t>
      </w:r>
      <w:r w:rsidRPr="00B973FD">
        <w:rPr>
          <w:rFonts w:ascii="Times New Roman" w:eastAsia="仿宋_GB2312" w:hAnsi="Times New Roman" w:cs="Times New Roman" w:hint="eastAsia"/>
          <w:bCs/>
          <w:color w:val="252525"/>
          <w:sz w:val="32"/>
          <w:szCs w:val="32"/>
        </w:rPr>
        <w:t>双随机，一公开</w:t>
      </w:r>
      <w:r w:rsidRPr="00B973FD">
        <w:rPr>
          <w:rFonts w:ascii="Times New Roman" w:eastAsia="仿宋_GB2312" w:hAnsi="Times New Roman" w:cs="Times New Roman"/>
          <w:bCs/>
          <w:color w:val="252525"/>
          <w:sz w:val="32"/>
          <w:szCs w:val="32"/>
        </w:rPr>
        <w:t>”</w:t>
      </w:r>
      <w:r w:rsidRPr="00B973FD">
        <w:rPr>
          <w:rFonts w:ascii="Times New Roman" w:eastAsia="仿宋_GB2312" w:hAnsi="Times New Roman" w:cs="Times New Roman" w:hint="eastAsia"/>
          <w:bCs/>
          <w:color w:val="252525"/>
          <w:sz w:val="32"/>
          <w:szCs w:val="32"/>
        </w:rPr>
        <w:t>市场监管机制。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健全以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>“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双随机、一公开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>”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监管为基本手段、以重点监管为补充、以信用监管为基础的新型监管机制，综合监管、智慧监管水平进一步提升。完善企业信息公示制度。推进企业信用风险分类管理。健全信用约束和失信联合惩戒机制，抓好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>“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黑名单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>”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管理。进一步推动部门联合惩戒，对违法企业加大行政处罚和信用约束力度，发挥社会共治力量，让失信主体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>“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一处违法、处处受限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>”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。开展信用修复，鼓励企业自我纠错、重塑信用。</w:t>
      </w:r>
      <w:r w:rsidRPr="00B973FD">
        <w:rPr>
          <w:rFonts w:ascii="Times New Roman" w:eastAsia="仿宋_GB2312" w:hAnsi="Times New Roman" w:cs="Times New Roman" w:hint="eastAsia"/>
          <w:bCs/>
          <w:sz w:val="32"/>
          <w:szCs w:val="32"/>
        </w:rPr>
        <w:t>规范执法行为。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全面推行行政执法公示制度、执法全过程记录制度、重大执法决定法制审核制度，公开执法职责、执法依据、执法标准、执法程序、监督途径、执法结果，提高市场监管执法规范化水平。</w:t>
      </w:r>
    </w:p>
    <w:p w:rsidR="00C374FA" w:rsidRPr="00B973FD" w:rsidRDefault="00C374FA">
      <w:pPr>
        <w:pStyle w:val="NormalWeb"/>
        <w:shd w:val="clear" w:color="auto" w:fill="FFFFFF"/>
        <w:spacing w:before="0" w:beforeAutospacing="0" w:after="0" w:afterAutospacing="0" w:line="570" w:lineRule="exact"/>
        <w:ind w:firstLine="480"/>
        <w:jc w:val="both"/>
        <w:textAlignment w:val="baseline"/>
        <w:rPr>
          <w:rFonts w:ascii="Times New Roman" w:eastAsia="仿宋_GB2312" w:hAnsi="Times New Roman" w:cs="Times New Roman"/>
          <w:color w:val="282828"/>
          <w:sz w:val="32"/>
          <w:szCs w:val="32"/>
        </w:rPr>
      </w:pPr>
      <w:r w:rsidRPr="00B973FD">
        <w:rPr>
          <w:rStyle w:val="Strong"/>
          <w:rFonts w:ascii="Times New Roman" w:eastAsia="楷体" w:hAnsi="Times New Roman"/>
          <w:b w:val="0"/>
          <w:color w:val="252525"/>
          <w:sz w:val="32"/>
          <w:szCs w:val="32"/>
        </w:rPr>
        <w:t>2</w:t>
      </w:r>
      <w:r w:rsidRPr="00B973FD">
        <w:rPr>
          <w:rStyle w:val="Strong"/>
          <w:rFonts w:ascii="Times New Roman" w:eastAsia="楷体" w:hAnsi="楷体" w:hint="eastAsia"/>
          <w:b w:val="0"/>
          <w:color w:val="252525"/>
          <w:sz w:val="32"/>
          <w:szCs w:val="32"/>
        </w:rPr>
        <w:t>、遵循</w:t>
      </w:r>
      <w:r w:rsidRPr="00B973FD">
        <w:rPr>
          <w:rStyle w:val="Strong"/>
          <w:rFonts w:ascii="Times New Roman" w:eastAsia="楷体" w:hAnsi="Times New Roman"/>
          <w:b w:val="0"/>
          <w:color w:val="252525"/>
          <w:sz w:val="32"/>
          <w:szCs w:val="32"/>
        </w:rPr>
        <w:t>“</w:t>
      </w:r>
      <w:r w:rsidRPr="00B973FD">
        <w:rPr>
          <w:rStyle w:val="Strong"/>
          <w:rFonts w:ascii="Times New Roman" w:eastAsia="楷体" w:hAnsi="楷体" w:hint="eastAsia"/>
          <w:b w:val="0"/>
          <w:color w:val="252525"/>
          <w:sz w:val="32"/>
          <w:szCs w:val="32"/>
        </w:rPr>
        <w:t>四个最严</w:t>
      </w:r>
      <w:r w:rsidRPr="00B973FD">
        <w:rPr>
          <w:rStyle w:val="Strong"/>
          <w:rFonts w:ascii="Times New Roman" w:eastAsia="楷体" w:hAnsi="Times New Roman"/>
          <w:b w:val="0"/>
          <w:color w:val="252525"/>
          <w:sz w:val="32"/>
          <w:szCs w:val="32"/>
        </w:rPr>
        <w:t>”</w:t>
      </w:r>
      <w:r w:rsidRPr="00B973FD">
        <w:rPr>
          <w:rStyle w:val="Strong"/>
          <w:rFonts w:ascii="Times New Roman" w:eastAsia="楷体" w:hAnsi="楷体" w:hint="eastAsia"/>
          <w:b w:val="0"/>
          <w:color w:val="252525"/>
          <w:sz w:val="32"/>
          <w:szCs w:val="32"/>
        </w:rPr>
        <w:t>要求，打造安全放心的消费环境。</w:t>
      </w:r>
      <w:r w:rsidRPr="00B973FD">
        <w:rPr>
          <w:rFonts w:ascii="Times New Roman" w:eastAsia="仿宋_GB2312" w:hAnsi="Times New Roman" w:cs="Times New Roman" w:hint="eastAsia"/>
          <w:color w:val="282828"/>
          <w:sz w:val="32"/>
          <w:szCs w:val="32"/>
        </w:rPr>
        <w:t>加强食品药品安全监管。全面建成责任体系更加健全，体制机制更加完善，全程监管更加科学，</w:t>
      </w:r>
      <w:r w:rsidRPr="00B973FD">
        <w:rPr>
          <w:rFonts w:ascii="Times New Roman" w:eastAsia="仿宋_GB2312" w:hAnsi="Times New Roman" w:cs="Times New Roman"/>
          <w:color w:val="282828"/>
          <w:sz w:val="32"/>
          <w:szCs w:val="32"/>
        </w:rPr>
        <w:t>“</w:t>
      </w:r>
      <w:r w:rsidRPr="00B973FD">
        <w:rPr>
          <w:rFonts w:ascii="Times New Roman" w:eastAsia="仿宋_GB2312" w:hAnsi="Times New Roman" w:cs="Times New Roman" w:hint="eastAsia"/>
          <w:color w:val="282828"/>
          <w:sz w:val="32"/>
          <w:szCs w:val="32"/>
        </w:rPr>
        <w:t>党政同责</w:t>
      </w:r>
      <w:r w:rsidRPr="00B973FD">
        <w:rPr>
          <w:rFonts w:ascii="Times New Roman" w:eastAsia="仿宋_GB2312" w:hAnsi="Times New Roman" w:cs="Times New Roman"/>
          <w:color w:val="282828"/>
          <w:sz w:val="32"/>
          <w:szCs w:val="32"/>
        </w:rPr>
        <w:t>”“</w:t>
      </w:r>
      <w:r w:rsidRPr="00B973FD">
        <w:rPr>
          <w:rFonts w:ascii="Times New Roman" w:eastAsia="仿宋_GB2312" w:hAnsi="Times New Roman" w:cs="Times New Roman" w:hint="eastAsia"/>
          <w:color w:val="282828"/>
          <w:sz w:val="32"/>
          <w:szCs w:val="32"/>
        </w:rPr>
        <w:t>四个最严</w:t>
      </w:r>
      <w:r w:rsidRPr="00B973FD">
        <w:rPr>
          <w:rFonts w:ascii="Times New Roman" w:eastAsia="仿宋_GB2312" w:hAnsi="Times New Roman" w:cs="Times New Roman"/>
          <w:color w:val="282828"/>
          <w:sz w:val="32"/>
          <w:szCs w:val="32"/>
        </w:rPr>
        <w:t>”“</w:t>
      </w:r>
      <w:r w:rsidRPr="00B973FD">
        <w:rPr>
          <w:rFonts w:ascii="Times New Roman" w:eastAsia="仿宋_GB2312" w:hAnsi="Times New Roman" w:cs="Times New Roman" w:hint="eastAsia"/>
          <w:color w:val="282828"/>
          <w:sz w:val="32"/>
          <w:szCs w:val="32"/>
        </w:rPr>
        <w:t>四有两责</w:t>
      </w:r>
      <w:r w:rsidRPr="00B973FD">
        <w:rPr>
          <w:rFonts w:ascii="Times New Roman" w:eastAsia="仿宋_GB2312" w:hAnsi="Times New Roman" w:cs="Times New Roman"/>
          <w:color w:val="282828"/>
          <w:sz w:val="32"/>
          <w:szCs w:val="32"/>
        </w:rPr>
        <w:t>”</w:t>
      </w:r>
      <w:r w:rsidRPr="00B973FD">
        <w:rPr>
          <w:rFonts w:ascii="Times New Roman" w:eastAsia="仿宋_GB2312" w:hAnsi="Times New Roman" w:cs="Times New Roman" w:hint="eastAsia"/>
          <w:color w:val="282828"/>
          <w:sz w:val="32"/>
          <w:szCs w:val="32"/>
        </w:rPr>
        <w:t>全面落实企业主体责任，全面履行社会满意度，全面提升食品药品安全的现代化治理体系，形成企业自律、政府监管、社会协同、公众参与的社会共治格局。有效遏制制假售假、无证经营等行为，杜绝和控制重特大食品药品安全事故，控制和减少较大及一般食品药品安全事故。继续巩固山东省食品安全城市成果，不断推动食品药品安全治理体系和治理能力现代化，保障人民群众饮食用药安全。深化食品安全治理行动，推动实现小作坊、登记和小餐饮、小摊贩备案管理，公开违法违规、虚假欺诈产品和企业信息。以落实企业追溯管理责任为基础，推进食品领域全产业链追溯体系建设，实现顺向可追踪、逆向可溯源、风险可管控，有效保障人民群众饮食安全。加强产品质量安全监管。突出重点工业产品、重要消费品、涉学涉童产品、电子商务产品和食品相关产品五个监管重点，全面提升质量监督服务提质增效升级的工作效能。实施产品质量安全分类监管，制定重点监管产品目录。严格抽查不合格企业后处理，加大质量违法行为曝光力度。及时发布消费警示，向公众提供消费品质量安全信息服务。争取地方政府支持，依法将产品质量监督检查经费，特别是监督抽查经费足额纳入各级政府财政预算。全面提高质量安全风险监测、研判、预警和处置能力，及时跟踪监测和防范化解行业性、区域性产品质量安全风险。加强特种设备安全监管。强化工作举措，完善监管基础，严厉查处企业违法违规行为，对特种设备安全隐患进行动态管理。督促企业依据相关法律法规和安全技术规范要求，严格落实特种设备安全主体责任，推广完善特种设备安全责任强制保险。加强事中事后监管，实现特种设备监督检查全覆盖，对监督抽查中发现的问题，严格按照相关要求进行处理。加强安全监察人员培训。加强</w:t>
      </w:r>
      <w:r w:rsidRPr="00B973FD">
        <w:rPr>
          <w:rFonts w:ascii="Times New Roman" w:eastAsia="仿宋_GB2312" w:hAnsi="Times New Roman" w:cs="Times New Roman"/>
          <w:color w:val="282828"/>
          <w:sz w:val="32"/>
          <w:szCs w:val="32"/>
        </w:rPr>
        <w:t>12315</w:t>
      </w:r>
      <w:r w:rsidRPr="00B973FD">
        <w:rPr>
          <w:rFonts w:ascii="Times New Roman" w:eastAsia="仿宋_GB2312" w:hAnsi="Times New Roman" w:cs="Times New Roman" w:hint="eastAsia"/>
          <w:color w:val="282828"/>
          <w:sz w:val="32"/>
          <w:szCs w:val="32"/>
        </w:rPr>
        <w:t>消费维权体系建设。建立统一、权威、高效的</w:t>
      </w:r>
      <w:r w:rsidRPr="00B973FD">
        <w:rPr>
          <w:rFonts w:ascii="Times New Roman" w:eastAsia="仿宋_GB2312" w:hAnsi="Times New Roman" w:cs="Times New Roman"/>
          <w:color w:val="282828"/>
          <w:sz w:val="32"/>
          <w:szCs w:val="32"/>
        </w:rPr>
        <w:t>12315</w:t>
      </w:r>
      <w:r w:rsidRPr="00B973FD">
        <w:rPr>
          <w:rFonts w:ascii="Times New Roman" w:eastAsia="仿宋_GB2312" w:hAnsi="Times New Roman" w:cs="Times New Roman" w:hint="eastAsia"/>
          <w:color w:val="282828"/>
          <w:sz w:val="32"/>
          <w:szCs w:val="32"/>
        </w:rPr>
        <w:t>消费维权体系。加强消费环境建设，推动形成政府主导、部门协作、企业自律、行业自治、社会监督、消费者参与为一体的共治格局。开展放心消费环境创建活动，形成崇尚诚信的良好消费氛围。</w:t>
      </w:r>
    </w:p>
    <w:p w:rsidR="00C374FA" w:rsidRPr="00B973FD" w:rsidRDefault="00C374FA">
      <w:pPr>
        <w:pStyle w:val="NormalWeb"/>
        <w:shd w:val="clear" w:color="auto" w:fill="FFFFFF"/>
        <w:spacing w:before="0" w:beforeAutospacing="0" w:after="0" w:afterAutospacing="0" w:line="570" w:lineRule="exact"/>
        <w:ind w:firstLine="480"/>
        <w:jc w:val="both"/>
        <w:textAlignment w:val="baseline"/>
        <w:rPr>
          <w:rFonts w:ascii="Times New Roman" w:eastAsia="仿宋_GB2312" w:hAnsi="Times New Roman" w:cs="Times New Roman"/>
          <w:color w:val="252525"/>
          <w:sz w:val="32"/>
          <w:szCs w:val="32"/>
        </w:rPr>
      </w:pPr>
      <w:r w:rsidRPr="00B973FD">
        <w:rPr>
          <w:rStyle w:val="Strong"/>
          <w:rFonts w:ascii="Times New Roman" w:eastAsia="楷体" w:hAnsi="Times New Roman"/>
          <w:b w:val="0"/>
          <w:color w:val="252525"/>
          <w:sz w:val="32"/>
          <w:szCs w:val="32"/>
        </w:rPr>
        <w:t>3</w:t>
      </w:r>
      <w:r w:rsidRPr="00B973FD">
        <w:rPr>
          <w:rStyle w:val="Strong"/>
          <w:rFonts w:ascii="Times New Roman" w:eastAsia="楷体" w:hAnsi="楷体" w:hint="eastAsia"/>
          <w:b w:val="0"/>
          <w:color w:val="252525"/>
          <w:sz w:val="32"/>
          <w:szCs w:val="32"/>
        </w:rPr>
        <w:t>、提升质量高线，加强品牌建设</w:t>
      </w:r>
      <w:r w:rsidRPr="00B973FD">
        <w:rPr>
          <w:rFonts w:ascii="Times New Roman" w:eastAsia="楷体" w:hAnsi="楷体" w:cs="Times New Roman" w:hint="eastAsia"/>
          <w:b/>
          <w:color w:val="252525"/>
          <w:sz w:val="32"/>
          <w:szCs w:val="32"/>
        </w:rPr>
        <w:t>。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全面提升质量工作水平。全面实施质量强区战略，严格企业质量主体责任，从源头提高质量水平，开展质量提升行动，提高企业质量管理水平，促进企业质量技术创新，帮扶开展名牌和市长质量奖评选。加强和改善质量监督管理，坚决维护质量安全。依法严厉打击质量违法行为、完善质量投诉和消费维权机制、实施质量安全风险管理。加强知识产权创造运用能力。全面推进知识产权强区建设，努力培育更多高价值核心专利、知名品牌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 xml:space="preserve"> 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，努力实现知识产权创造由多向优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 xml:space="preserve"> 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、由大到强转变。开展商标和地理标识产品优势培育工作。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> 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进一步完善标准体系。在国家标准化体系框架下，鼓励、支持企业、行业协会、专业机构等主导或参与国家、行业标准的制修订工作，加快制定地方、团体、企业标准，建设更加先进适用的标准体系，全面提升标准水平。放开搞活企业标准，进一步完善企业标准自我声明公开和监督制度。加快推进计量一体化发展。加强计量监管，强化计量器具强制检定管理，严厉打击计量违法行为，规范市场计量秩序，提升计量监管的智能化、科技化水平，建设计量管理信息化系统，提高计量监管的针对性和有效性。优化计量服务水平</w:t>
      </w:r>
      <w:r w:rsidRPr="00B973FD">
        <w:rPr>
          <w:rFonts w:ascii="Times New Roman" w:eastAsia="仿宋_GB2312" w:hAnsi="Times New Roman" w:cs="Times New Roman"/>
          <w:color w:val="252525"/>
          <w:sz w:val="32"/>
          <w:szCs w:val="32"/>
        </w:rPr>
        <w:t xml:space="preserve">, 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大力扶持计量产业发展。加强能源资源计量管理，建设能效、水效检测实验室，提升计量服务节能减排的能力。加强计量人才队伍建设，提升计量专业技术人员能力水平。加强计量技术机构建设，夯实计量基础。</w:t>
      </w:r>
    </w:p>
    <w:p w:rsidR="00C374FA" w:rsidRPr="00B973FD" w:rsidRDefault="00C374FA">
      <w:pPr>
        <w:pStyle w:val="NormalWeb"/>
        <w:shd w:val="clear" w:color="auto" w:fill="FFFFFF"/>
        <w:spacing w:before="0" w:beforeAutospacing="0" w:after="0" w:afterAutospacing="0" w:line="570" w:lineRule="exact"/>
        <w:ind w:firstLine="480"/>
        <w:jc w:val="both"/>
        <w:textAlignment w:val="baseline"/>
        <w:rPr>
          <w:rFonts w:ascii="Times New Roman" w:eastAsia="仿宋_GB2312" w:hAnsi="Times New Roman" w:cs="Times New Roman"/>
          <w:color w:val="252525"/>
          <w:sz w:val="32"/>
          <w:szCs w:val="32"/>
        </w:rPr>
      </w:pPr>
      <w:r w:rsidRPr="00B973FD">
        <w:rPr>
          <w:rStyle w:val="Strong"/>
          <w:rFonts w:ascii="Times New Roman" w:eastAsia="楷体" w:hAnsi="Times New Roman"/>
          <w:b w:val="0"/>
          <w:color w:val="252525"/>
          <w:sz w:val="32"/>
          <w:szCs w:val="32"/>
        </w:rPr>
        <w:t>4</w:t>
      </w:r>
      <w:r w:rsidRPr="00B973FD">
        <w:rPr>
          <w:rStyle w:val="Strong"/>
          <w:rFonts w:ascii="Times New Roman" w:eastAsia="楷体" w:hAnsi="楷体" w:hint="eastAsia"/>
          <w:b w:val="0"/>
          <w:color w:val="252525"/>
          <w:sz w:val="32"/>
          <w:szCs w:val="32"/>
        </w:rPr>
        <w:t>、加强自身能力建设，提升监管执法水平</w:t>
      </w:r>
      <w:r w:rsidRPr="00B973FD">
        <w:rPr>
          <w:rFonts w:ascii="Times New Roman" w:eastAsia="楷体" w:hAnsi="楷体" w:cs="Times New Roman" w:hint="eastAsia"/>
          <w:b/>
          <w:color w:val="252525"/>
          <w:sz w:val="32"/>
          <w:szCs w:val="32"/>
        </w:rPr>
        <w:t>。</w:t>
      </w:r>
      <w:r w:rsidRPr="00B973FD">
        <w:rPr>
          <w:rFonts w:ascii="Times New Roman" w:eastAsia="仿宋_GB2312" w:hAnsi="Times New Roman" w:cs="Times New Roman" w:hint="eastAsia"/>
          <w:color w:val="252525"/>
          <w:sz w:val="32"/>
          <w:szCs w:val="32"/>
        </w:rPr>
        <w:t>加强队伍建设和培训力度。深学笃行习近平新时代中国特色社会主义思想，打造忠诚、干净、担当的市场监管队伍。按照专业性、技术性要求，加大培训和人才培养力度，坚持岗位练兵和以案代训，实行持证上岗和资格管理，加快建立忠诚干净担当的市场监管队伍。加强技术支撑保障能力建设。加强能力建设投入，提升检验检测综合实力和服务水平，为市场监管提供有力的技术支撑。加强新闻宣传和舆论环境建设。建立定期重大事项新闻发布会制度，加大科普宣传力度，组织开展权威发布，增强公众的认知度。加强舆情引导力度，有效控制网络舆情，充分利用大数据技术，加强重大舆情监测和突发事件处置工作，打好舆论基础，营造良好的营商环境。</w:t>
      </w:r>
    </w:p>
    <w:p w:rsidR="00C374FA" w:rsidRPr="00B973FD" w:rsidRDefault="00C374FA" w:rsidP="00A46E61">
      <w:pPr>
        <w:pStyle w:val="NormalWeb"/>
        <w:shd w:val="clear" w:color="auto" w:fill="FFFFFF"/>
        <w:spacing w:before="0" w:beforeAutospacing="0" w:after="0" w:afterAutospacing="0" w:line="570" w:lineRule="exact"/>
        <w:jc w:val="both"/>
        <w:textAlignment w:val="baseline"/>
        <w:rPr>
          <w:rFonts w:ascii="Times New Roman" w:eastAsia="仿宋_GB2312" w:hAnsi="Times New Roman" w:cs="Times New Roman"/>
          <w:color w:val="252525"/>
          <w:sz w:val="32"/>
          <w:szCs w:val="32"/>
        </w:rPr>
      </w:pPr>
    </w:p>
    <w:p w:rsidR="00C374FA" w:rsidRPr="00B973FD" w:rsidRDefault="00C374FA">
      <w:pPr>
        <w:spacing w:line="570" w:lineRule="exact"/>
        <w:rPr>
          <w:rFonts w:ascii="Times New Roman" w:eastAsia="仿宋_GB2312" w:hAnsi="Times New Roman"/>
          <w:sz w:val="32"/>
          <w:szCs w:val="32"/>
        </w:rPr>
      </w:pPr>
    </w:p>
    <w:sectPr w:rsidR="00C374FA" w:rsidRPr="00B973FD" w:rsidSect="00757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4FA" w:rsidRDefault="00C374FA" w:rsidP="00C936D6">
      <w:r>
        <w:separator/>
      </w:r>
    </w:p>
  </w:endnote>
  <w:endnote w:type="continuationSeparator" w:id="0">
    <w:p w:rsidR="00C374FA" w:rsidRDefault="00C374FA" w:rsidP="00C93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4FA" w:rsidRDefault="00C374FA" w:rsidP="00C936D6">
      <w:r>
        <w:separator/>
      </w:r>
    </w:p>
  </w:footnote>
  <w:footnote w:type="continuationSeparator" w:id="0">
    <w:p w:rsidR="00C374FA" w:rsidRDefault="00C374FA" w:rsidP="00C93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878"/>
    <w:rsid w:val="00074F4B"/>
    <w:rsid w:val="0010610E"/>
    <w:rsid w:val="00142BF2"/>
    <w:rsid w:val="00160B16"/>
    <w:rsid w:val="001A6CF4"/>
    <w:rsid w:val="0026673C"/>
    <w:rsid w:val="002C6DE0"/>
    <w:rsid w:val="003248EB"/>
    <w:rsid w:val="0036096D"/>
    <w:rsid w:val="00375BAC"/>
    <w:rsid w:val="004044CB"/>
    <w:rsid w:val="004521F6"/>
    <w:rsid w:val="004523E1"/>
    <w:rsid w:val="004745CF"/>
    <w:rsid w:val="0051012C"/>
    <w:rsid w:val="0057054A"/>
    <w:rsid w:val="005727A8"/>
    <w:rsid w:val="005F4E2D"/>
    <w:rsid w:val="00623878"/>
    <w:rsid w:val="00657BA2"/>
    <w:rsid w:val="00682793"/>
    <w:rsid w:val="006A1B5A"/>
    <w:rsid w:val="006C3B8E"/>
    <w:rsid w:val="006F3147"/>
    <w:rsid w:val="0075761C"/>
    <w:rsid w:val="007727E9"/>
    <w:rsid w:val="007C53FA"/>
    <w:rsid w:val="00804D77"/>
    <w:rsid w:val="00855D49"/>
    <w:rsid w:val="009B0BF7"/>
    <w:rsid w:val="00A46E61"/>
    <w:rsid w:val="00AB2A0A"/>
    <w:rsid w:val="00AF6FCB"/>
    <w:rsid w:val="00B973FD"/>
    <w:rsid w:val="00C374FA"/>
    <w:rsid w:val="00C936D6"/>
    <w:rsid w:val="00D26A4E"/>
    <w:rsid w:val="00D35792"/>
    <w:rsid w:val="00DD63DC"/>
    <w:rsid w:val="00E26977"/>
    <w:rsid w:val="00EF27EA"/>
    <w:rsid w:val="00FF4D9A"/>
    <w:rsid w:val="33A264CA"/>
    <w:rsid w:val="65E2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61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75761C"/>
    <w:pPr>
      <w:spacing w:line="480" w:lineRule="auto"/>
      <w:ind w:leftChars="200" w:left="420"/>
    </w:pPr>
    <w:rPr>
      <w:szCs w:val="21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5761C"/>
    <w:rPr>
      <w:rFonts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rsid w:val="00757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761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57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761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7576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75761C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7576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392</Words>
  <Characters>2238</Characters>
  <Application>Microsoft Office Outlook</Application>
  <DocSecurity>0</DocSecurity>
  <Lines>0</Lines>
  <Paragraphs>0</Paragraphs>
  <ScaleCrop>false</ScaleCrop>
  <Company>DoubleOX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xc</cp:lastModifiedBy>
  <cp:revision>3</cp:revision>
  <dcterms:created xsi:type="dcterms:W3CDTF">2020-11-10T01:53:00Z</dcterms:created>
  <dcterms:modified xsi:type="dcterms:W3CDTF">2021-12-27T01:39:00Z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