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cs="Times New Roman"/>
          <w:lang w:val="en-US" w:eastAsia="zh-CN"/>
        </w:rPr>
        <w:drawing>
          <wp:anchor distT="0" distB="0" distL="114300" distR="114300" simplePos="0" relativeHeight="251659264" behindDoc="1" locked="0" layoutInCell="1" allowOverlap="1">
            <wp:simplePos x="0" y="0"/>
            <wp:positionH relativeFrom="column">
              <wp:posOffset>-911860</wp:posOffset>
            </wp:positionH>
            <wp:positionV relativeFrom="paragraph">
              <wp:posOffset>-947420</wp:posOffset>
            </wp:positionV>
            <wp:extent cx="7232015" cy="9357995"/>
            <wp:effectExtent l="0" t="0" r="6985" b="14605"/>
            <wp:wrapNone/>
            <wp:docPr id="2" name="图片 2" descr="薛政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薛政发"/>
                    <pic:cNvPicPr>
                      <a:picLocks noChangeAspect="1"/>
                    </pic:cNvPicPr>
                  </pic:nvPicPr>
                  <pic:blipFill>
                    <a:blip r:embed="rId5"/>
                    <a:stretch>
                      <a:fillRect/>
                    </a:stretch>
                  </pic:blipFill>
                  <pic:spPr>
                    <a:xfrm>
                      <a:off x="0" y="0"/>
                      <a:ext cx="7232015" cy="93579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44"/>
          <w:lang w:val="en-US" w:eastAsia="zh-CN"/>
        </w:rPr>
      </w:pPr>
    </w:p>
    <w:p>
      <w:pPr>
        <w:pStyle w:val="9"/>
        <w:keepNext w:val="0"/>
        <w:keepLines w:val="0"/>
        <w:pageBreakBefore w:val="0"/>
        <w:kinsoku/>
        <w:wordWrap/>
        <w:overflowPunct/>
        <w:topLinePunct w:val="0"/>
        <w:autoSpaceDE/>
        <w:autoSpaceDN/>
        <w:bidi w:val="0"/>
        <w:adjustRightInd/>
        <w:snapToGrid/>
        <w:spacing w:after="0" w:afterLines="0" w:line="240" w:lineRule="auto"/>
        <w:ind w:left="0" w:leftChars="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薛政发〔2022〕5号</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薛城区</w:t>
      </w:r>
      <w:r>
        <w:rPr>
          <w:rFonts w:hint="default" w:ascii="Times New Roman" w:hAnsi="Times New Roman" w:eastAsia="方正小标宋简体" w:cs="Times New Roman"/>
          <w:sz w:val="44"/>
          <w:szCs w:val="44"/>
        </w:rPr>
        <w:t>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关于全面实行行政许可事项清单管理的通知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各镇</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lang w:val="en-US" w:eastAsia="zh-CN"/>
        </w:rPr>
        <w:t>办事处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部门：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i w:val="0"/>
          <w:caps w:val="0"/>
          <w:color w:val="auto"/>
          <w:spacing w:val="0"/>
          <w:kern w:val="0"/>
          <w:sz w:val="32"/>
          <w:szCs w:val="32"/>
          <w:u w:val="none"/>
          <w:lang w:val="en-US" w:eastAsia="zh-CN" w:bidi="ar-SA"/>
        </w:rPr>
      </w:pPr>
      <w:r>
        <w:rPr>
          <w:rFonts w:hint="default" w:ascii="Times New Roman" w:hAnsi="Times New Roman" w:eastAsia="仿宋_GB2312" w:cs="Times New Roman"/>
          <w:i w:val="0"/>
          <w:caps w:val="0"/>
          <w:color w:val="auto"/>
          <w:spacing w:val="0"/>
          <w:kern w:val="0"/>
          <w:sz w:val="32"/>
          <w:szCs w:val="32"/>
          <w:u w:val="none"/>
          <w:lang w:val="en-US" w:eastAsia="zh-CN" w:bidi="ar-SA"/>
        </w:rPr>
        <w:t>为进一步做好全区行政许可事项清单管理工作，根据《山东省人民政府关于全面实行行政许可事项清单管理的通知》（鲁政发〔2022〕10号）、《枣庄市人民政府关于全面实行行政许可事项清单管理的通知》（枣政发〔2022〕5号）要求，现公布《薛城区行政许可事项清单（2022年版）》，并就有关事项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i w:val="0"/>
          <w:caps w:val="0"/>
          <w:color w:val="auto"/>
          <w:spacing w:val="0"/>
          <w:kern w:val="0"/>
          <w:sz w:val="32"/>
          <w:szCs w:val="32"/>
          <w:u w:val="none"/>
          <w:lang w:val="en-US" w:eastAsia="zh-CN" w:bidi="ar-SA"/>
        </w:rPr>
      </w:pPr>
      <w:r>
        <w:rPr>
          <w:rFonts w:hint="default" w:ascii="Times New Roman" w:hAnsi="Times New Roman" w:eastAsia="仿宋_GB2312" w:cs="Times New Roman"/>
          <w:i w:val="0"/>
          <w:caps w:val="0"/>
          <w:color w:val="auto"/>
          <w:spacing w:val="0"/>
          <w:kern w:val="0"/>
          <w:sz w:val="32"/>
          <w:szCs w:val="32"/>
          <w:u w:val="none"/>
          <w:lang w:val="en-US" w:eastAsia="zh-CN" w:bidi="ar-SA"/>
        </w:rPr>
        <w:t>深入学习贯彻习近平新时代中国特色社会主义思想，全面贯彻党的十九大和十九届历次全会精神，认真落实国务院和省委省政府关于深化“放管服”改革优化营商环境和全面实行行政许可事项清单管理的决策部署，按照以上率下、协同联动的要求，依法依规编制行政许可事项清单，加强对清单内事项全链条全领域管理，不断提升行政审批效率和监管效能，促进行政权力规范运行，减少制度性交易成本，为市场主体和广大群众打造更加公平高效的营商环境，更好激发市场活力和社会创造力，为推动全区经济社会高质量发展提供有力保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二、重点任务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u w:val="none"/>
          <w:lang w:val="en-US" w:eastAsia="zh-CN" w:bidi="ar-SA"/>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）制定完善行政许可实施规范。</w:t>
      </w:r>
      <w:r>
        <w:rPr>
          <w:rFonts w:hint="default" w:ascii="Times New Roman" w:hAnsi="Times New Roman" w:eastAsia="仿宋_GB2312" w:cs="Times New Roman"/>
          <w:i w:val="0"/>
          <w:caps w:val="0"/>
          <w:color w:val="auto"/>
          <w:spacing w:val="0"/>
          <w:kern w:val="0"/>
          <w:sz w:val="32"/>
          <w:szCs w:val="32"/>
          <w:u w:val="none"/>
          <w:lang w:val="en-US" w:eastAsia="zh-CN" w:bidi="ar-SA"/>
        </w:rPr>
        <w:t>2022年10月底前，区政府办公室组织区级主管部门根据省、市两级主管部门制定的实施规范，逐项明确子项、办理项等实施要素，细化完善行政许可实施规范并向社会公布。上级主管部门已经明确的实施要素，区级主管部门要严格保持一致，或者作出有利于行政相对人的优化调整。对实行相对集中行政许可权改革的事项，要按照改革方案明确实施机关、监管主体等实施要素，并与我市范围内其他区（市）保持相对统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u w:val="none"/>
          <w:lang w:val="en-US" w:eastAsia="zh-CN" w:bidi="ar-SA"/>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）更新优化行政许可办事指南。</w:t>
      </w:r>
      <w:r>
        <w:rPr>
          <w:rFonts w:hint="default" w:ascii="Times New Roman" w:hAnsi="Times New Roman" w:eastAsia="仿宋_GB2312" w:cs="Times New Roman"/>
          <w:i w:val="0"/>
          <w:caps w:val="0"/>
          <w:color w:val="auto"/>
          <w:spacing w:val="0"/>
          <w:kern w:val="0"/>
          <w:sz w:val="32"/>
          <w:szCs w:val="32"/>
          <w:u w:val="none"/>
          <w:lang w:val="en-US" w:eastAsia="zh-CN" w:bidi="ar-SA"/>
        </w:rPr>
        <w:t>2022年11月底前，行政许可实施机关负责会同主管部门依照行政许可事项清单和实施规范更新调整办事指南，同步在相关业务办理系统、政务服务大厅等平台和场所进行更新，并汇集至全国行政许可管理系统，做到线上线下同源发布、同步更新、内容一致。办事指南一经公布，必须严格遵照执行，不得随意增加许可条件、申请材料、中介服务、审批环节、收费、数量限制等，不得超时限办理行政许可，但可以作出有利于行政相对人的合理优化调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三、强化运用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i w:val="0"/>
          <w:caps w:val="0"/>
          <w:color w:val="auto"/>
          <w:spacing w:val="0"/>
          <w:kern w:val="0"/>
          <w:sz w:val="32"/>
          <w:szCs w:val="32"/>
          <w:u w:val="none"/>
          <w:lang w:val="en-US" w:eastAsia="zh-CN" w:bidi="ar-SA"/>
        </w:rPr>
      </w:pPr>
      <w:r>
        <w:rPr>
          <w:rFonts w:hint="default" w:ascii="Times New Roman" w:hAnsi="Times New Roman" w:eastAsia="楷体_GB2312" w:cs="Times New Roman"/>
          <w:sz w:val="32"/>
          <w:szCs w:val="32"/>
        </w:rPr>
        <w:t>（一）建立清单动态管理机制。</w:t>
      </w:r>
      <w:r>
        <w:rPr>
          <w:rFonts w:hint="default" w:ascii="Times New Roman" w:hAnsi="Times New Roman" w:eastAsia="仿宋_GB2312" w:cs="Times New Roman"/>
          <w:i w:val="0"/>
          <w:caps w:val="0"/>
          <w:color w:val="auto"/>
          <w:spacing w:val="0"/>
          <w:kern w:val="0"/>
          <w:sz w:val="32"/>
          <w:szCs w:val="32"/>
          <w:u w:val="none"/>
          <w:lang w:val="en-US" w:eastAsia="zh-CN" w:bidi="ar-SA"/>
        </w:rPr>
        <w:t>区政府办公室负责对全区行政许可事项清单、实施规范进行动态管理，确保清单与法律法规规章的“立改废”及时有效衔接，与行政审批制度改革决策协调联动，并及时研究解决清单管理和行政许可实施中的重大问题。政务服务事项基本目录、“互联网＋监管”事项清单、投资项目审批事项清单、工程建设项目审批事项清单等涉及的行政许可事项，要与行政许可事项清单保持一致，确保行政许可事项清单权威准确。上级清单作出动态调整的，下级清单要及时相应调整。</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i w:val="0"/>
          <w:caps w:val="0"/>
          <w:color w:val="auto"/>
          <w:spacing w:val="0"/>
          <w:kern w:val="0"/>
          <w:sz w:val="32"/>
          <w:szCs w:val="32"/>
          <w:u w:val="none"/>
          <w:lang w:val="en-US" w:eastAsia="zh-CN" w:bidi="ar-SA"/>
        </w:rPr>
      </w:pPr>
      <w:r>
        <w:rPr>
          <w:rFonts w:hint="default" w:ascii="Times New Roman" w:hAnsi="Times New Roman" w:eastAsia="楷体_GB2312" w:cs="Times New Roman"/>
          <w:b w:val="0"/>
          <w:bCs w:val="0"/>
          <w:color w:val="auto"/>
          <w:sz w:val="32"/>
          <w:szCs w:val="32"/>
        </w:rPr>
        <w:t>（二）严格控制</w:t>
      </w:r>
      <w:r>
        <w:rPr>
          <w:rFonts w:hint="default" w:ascii="Times New Roman" w:hAnsi="Times New Roman" w:eastAsia="楷体_GB2312" w:cs="Times New Roman"/>
          <w:b w:val="0"/>
          <w:bCs w:val="0"/>
          <w:color w:val="auto"/>
          <w:sz w:val="32"/>
          <w:szCs w:val="32"/>
          <w:lang w:eastAsia="zh-CN"/>
        </w:rPr>
        <w:t>新设</w:t>
      </w:r>
      <w:r>
        <w:rPr>
          <w:rFonts w:hint="default" w:ascii="Times New Roman" w:hAnsi="Times New Roman" w:eastAsia="楷体_GB2312" w:cs="Times New Roman"/>
          <w:b w:val="0"/>
          <w:bCs w:val="0"/>
          <w:color w:val="auto"/>
          <w:sz w:val="32"/>
          <w:szCs w:val="32"/>
        </w:rPr>
        <w:t>行政许可。</w:t>
      </w:r>
      <w:r>
        <w:rPr>
          <w:rFonts w:hint="default" w:ascii="Times New Roman" w:hAnsi="Times New Roman" w:eastAsia="仿宋_GB2312" w:cs="Times New Roman"/>
          <w:i w:val="0"/>
          <w:caps w:val="0"/>
          <w:color w:val="auto"/>
          <w:spacing w:val="0"/>
          <w:kern w:val="0"/>
          <w:sz w:val="32"/>
          <w:szCs w:val="32"/>
          <w:u w:val="none"/>
          <w:lang w:val="en-US" w:eastAsia="zh-CN" w:bidi="ar-SA"/>
        </w:rPr>
        <w:t>区司法局要加强对行政规范性文件的备案审查，对违法设定行政许可或者增设行政许可条件的，按照规定程序处理，予以纠正。同时，严肃清查整治变相许可。严格落实清单之外一律不得违法实施行政许可的要求。在行政许可事项清单之外，行政机关和其他具有管理公共事务职能的组织不得以备案、证明、目录、计划、规划、指定、认证、年检等名义，要求行政相对人经申请获批后方可从事特定活动。区政府办公室要会同司法局等相关部门，加大清理整治工作力度，防止扩大审批范围、实施变相行政许可等行为。对实施变相行政许可的，要通过停止实施、调整实施方式、完善设定依据等予以纠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）推动审管联动有序衔接。</w:t>
      </w:r>
      <w:r>
        <w:rPr>
          <w:rFonts w:hint="default" w:ascii="Times New Roman" w:hAnsi="Times New Roman" w:eastAsia="仿宋_GB2312" w:cs="Times New Roman"/>
          <w:i w:val="0"/>
          <w:caps w:val="0"/>
          <w:color w:val="auto"/>
          <w:spacing w:val="0"/>
          <w:kern w:val="0"/>
          <w:sz w:val="32"/>
          <w:szCs w:val="32"/>
          <w:u w:val="none"/>
          <w:lang w:val="en-US" w:eastAsia="zh-CN" w:bidi="ar-SA"/>
        </w:rPr>
        <w:t>严格依照法律法规、“三定”规定和相对集中行政许可权改革方案，确定行政许可事项的监管主体和监管职责。对多部门共同承担监管职责的事项，主管部门应当会同相关部门实施综合监管。有关部门之间就监管主体存在争议的，报同级人民政府决定。对清单内的许可事项，主管部门要会同监管主体科学划分风险等级，明确监管重点，实施有针对性、差异化的监管政策。对划转至行政审批服务局实施的行政许可事项，要坚持“谁审批、谁负责，谁主管、谁监管”原则，划转双方及时修订审管衔接备忘录，逐项明确监管主体、监管事项和监管措施，确保审管无缝衔接、协调联动。对调整实施层级的行政许可事项，主管部门要会同实施机关，明确监管主体、监管职责，逐项制定监管规则和标准，加强对上沟通，抓好业务培训。对取消或许可改为备案的事项，主管部门要逐项制定加强事中事后监管的措施，防止监管缺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u w:val="none"/>
          <w:lang w:val="en-US" w:eastAsia="zh-CN" w:bidi="ar-SA"/>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）优化线上线下审批服务。</w:t>
      </w:r>
      <w:r>
        <w:rPr>
          <w:rFonts w:hint="default" w:ascii="Times New Roman" w:hAnsi="Times New Roman" w:eastAsia="仿宋_GB2312" w:cs="Times New Roman"/>
          <w:i w:val="0"/>
          <w:caps w:val="0"/>
          <w:color w:val="auto"/>
          <w:spacing w:val="0"/>
          <w:kern w:val="0"/>
          <w:sz w:val="32"/>
          <w:szCs w:val="32"/>
          <w:u w:val="none"/>
          <w:lang w:val="en-US" w:eastAsia="zh-CN" w:bidi="ar-SA"/>
        </w:rPr>
        <w:t>各主管部门和实施机关要依托全国行政许可管理系统和“爱山东”政务服务平台事项管理系统，推动同一事项在不同地区、层级和业务系统同要素管理、同标准办理。按照“网上办理优先、线上线下并行”要求，规范线上办事服务，统一网上办事入口，优化网上办事指引，提升网上办理深度；优化线下服务功能，规范政务服务场所设置，建立健全帮办代办服务体系，持续做好无障碍设施建设；强化线上线下审批服务深度融合，推动审批服务业务全流程模块化改造，切实提升企业和群众获得感、满意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i w:val="0"/>
          <w:caps w:val="0"/>
          <w:color w:val="auto"/>
          <w:spacing w:val="0"/>
          <w:kern w:val="0"/>
          <w:sz w:val="32"/>
          <w:szCs w:val="32"/>
          <w:u w:val="none"/>
          <w:lang w:val="en-US" w:eastAsia="zh-CN" w:bidi="ar-SA"/>
        </w:rPr>
      </w:pP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i w:val="0"/>
          <w:caps w:val="0"/>
          <w:color w:val="auto"/>
          <w:spacing w:val="0"/>
          <w:kern w:val="0"/>
          <w:sz w:val="32"/>
          <w:szCs w:val="32"/>
          <w:u w:val="none"/>
          <w:lang w:val="en-US" w:eastAsia="zh-CN" w:bidi="ar-SA"/>
        </w:rPr>
        <w:t>各级各部门要高度重视全面实行行政许可事项清单管理工作，建立健全工作推进机制，配齐配强行政审批制度改革工作力量，持之以恒抓好贯彻落实。要坚持系统思维，统筹推进行政许可事项等政务服务事项标准化、规范化、便利化，及时研究解决问题，确保行政许可事项清单落实落地、发挥实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i w:val="0"/>
          <w:caps w:val="0"/>
          <w:color w:val="auto"/>
          <w:spacing w:val="0"/>
          <w:kern w:val="0"/>
          <w:sz w:val="32"/>
          <w:szCs w:val="32"/>
          <w:u w:val="none"/>
          <w:lang w:val="en-US" w:eastAsia="zh-CN" w:bidi="ar-SA"/>
        </w:rPr>
      </w:pPr>
      <w:r>
        <w:rPr>
          <w:rFonts w:hint="default" w:ascii="Times New Roman" w:hAnsi="Times New Roman" w:eastAsia="楷体_GB2312" w:cs="Times New Roman"/>
          <w:sz w:val="32"/>
          <w:szCs w:val="32"/>
        </w:rPr>
        <w:t>（二）做好工作衔接。</w:t>
      </w:r>
      <w:r>
        <w:rPr>
          <w:rFonts w:hint="default" w:ascii="Times New Roman" w:hAnsi="Times New Roman" w:eastAsia="仿宋_GB2312" w:cs="Times New Roman"/>
          <w:i w:val="0"/>
          <w:caps w:val="0"/>
          <w:color w:val="auto"/>
          <w:spacing w:val="0"/>
          <w:kern w:val="0"/>
          <w:sz w:val="32"/>
          <w:szCs w:val="32"/>
          <w:u w:val="none"/>
          <w:lang w:val="en-US" w:eastAsia="zh-CN" w:bidi="ar-SA"/>
        </w:rPr>
        <w:t>各主管部门要切实做好本系统行政许可事项清单管理工作，积极对接市级主管部门，科学制定实施规范，加强对本系统行政许可事项清单管理的督促指导，推动构建分级负责、事项统一、权责清晰的行政许可事项清单体系。要在省、市级主管部门的指导下，结合行政审批制度改革实际，明确细化相关要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i w:val="0"/>
          <w:caps w:val="0"/>
          <w:color w:val="auto"/>
          <w:spacing w:val="0"/>
          <w:kern w:val="0"/>
          <w:sz w:val="32"/>
          <w:szCs w:val="32"/>
          <w:u w:val="none"/>
          <w:lang w:val="en-US" w:eastAsia="zh-CN" w:bidi="ar-SA"/>
        </w:rPr>
      </w:pPr>
      <w:r>
        <w:rPr>
          <w:rFonts w:hint="default" w:ascii="Times New Roman" w:hAnsi="Times New Roman" w:eastAsia="楷体_GB2312" w:cs="Times New Roman"/>
          <w:sz w:val="32"/>
          <w:szCs w:val="32"/>
        </w:rPr>
        <w:t>（三）强化监督问责。</w:t>
      </w:r>
      <w:r>
        <w:rPr>
          <w:rFonts w:hint="default" w:ascii="Times New Roman" w:hAnsi="Times New Roman" w:eastAsia="仿宋_GB2312" w:cs="Times New Roman"/>
          <w:i w:val="0"/>
          <w:caps w:val="0"/>
          <w:color w:val="auto"/>
          <w:spacing w:val="0"/>
          <w:kern w:val="0"/>
          <w:sz w:val="32"/>
          <w:szCs w:val="32"/>
          <w:u w:val="none"/>
          <w:lang w:val="en-US" w:eastAsia="zh-CN" w:bidi="ar-SA"/>
        </w:rPr>
        <w:t>区政府办公室要加强对行政许可事项清单落实情况的监督检查，组织开展对行政许可事项实施情况的动态评估。依托“12345政务服务便民热线”、政务服务“好差评”系统、政府门户网站等主动接受社会监督。要会同司法局加强行政许可执法监督，对违法设定实施行政许可、实施变相许可、落实清单管理工作不到位等问题，责成有关部门限期整改；对于情节严重的，依法依规追责问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i w:val="0"/>
          <w:caps w:val="0"/>
          <w:color w:val="auto"/>
          <w:spacing w:val="0"/>
          <w:kern w:val="0"/>
          <w:sz w:val="32"/>
          <w:szCs w:val="32"/>
          <w:u w:val="none"/>
          <w:lang w:val="en-US" w:eastAsia="zh-CN" w:bidi="ar-SA"/>
        </w:rPr>
      </w:pPr>
      <w:r>
        <w:rPr>
          <w:rFonts w:hint="default" w:ascii="Times New Roman" w:hAnsi="Times New Roman" w:eastAsia="仿宋_GB2312" w:cs="Times New Roman"/>
          <w:i w:val="0"/>
          <w:caps w:val="0"/>
          <w:color w:val="auto"/>
          <w:spacing w:val="0"/>
          <w:kern w:val="0"/>
          <w:sz w:val="32"/>
          <w:szCs w:val="32"/>
          <w:u w:val="none"/>
          <w:lang w:val="en-US" w:eastAsia="zh-CN" w:bidi="ar-SA"/>
        </w:rPr>
        <w:t>附件：薛城区行政许可事项清单（2022年版）</w:t>
      </w: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薛城区</w:t>
      </w:r>
      <w:r>
        <w:rPr>
          <w:rFonts w:hint="default" w:ascii="Times New Roman" w:hAnsi="Times New Roman" w:eastAsia="仿宋_GB2312"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sectPr>
          <w:footerReference r:id="rId3" w:type="default"/>
          <w:pgSz w:w="11906" w:h="16838"/>
          <w:pgMar w:top="1701" w:right="1701" w:bottom="1701" w:left="1701" w:header="1134" w:footer="1134"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简体" w:cs="Times New Roman"/>
          <w:i w:val="0"/>
          <w:caps w:val="0"/>
          <w:color w:val="auto"/>
          <w:spacing w:val="0"/>
          <w:sz w:val="44"/>
          <w:szCs w:val="44"/>
          <w:u w:val="none"/>
          <w:lang w:eastAsia="zh-CN"/>
        </w:rPr>
      </w:pPr>
      <w:r>
        <w:rPr>
          <w:rFonts w:hint="default" w:ascii="Times New Roman" w:hAnsi="Times New Roman" w:eastAsia="方正小标宋简体" w:cs="Times New Roman"/>
          <w:i w:val="0"/>
          <w:caps w:val="0"/>
          <w:color w:val="auto"/>
          <w:spacing w:val="0"/>
          <w:sz w:val="44"/>
          <w:szCs w:val="44"/>
          <w:u w:val="none"/>
          <w:lang w:eastAsia="zh-CN"/>
        </w:rPr>
        <w:t>薛城区行政许可事项清单（2022年版）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tbl>
      <w:tblPr>
        <w:tblStyle w:val="7"/>
        <w:tblW w:w="138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1680"/>
        <w:gridCol w:w="2310"/>
        <w:gridCol w:w="2513"/>
        <w:gridCol w:w="6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区级主管部门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2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实施机关</w:t>
            </w:r>
          </w:p>
        </w:tc>
        <w:tc>
          <w:tcPr>
            <w:tcW w:w="6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区委办公室</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延期移交档案审批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区档案局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区委统战部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宗教活动场所筹备设立审批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区民族宗教局（初审省民族宗教委、市民族宗教局事权事项）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区委统战部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宗教活动场所设立、变更、注销登记</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区民族宗教局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区委统战部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宗教活动场所内改建或者新建建筑物许可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区民族宗教局（初审省民族宗教委、市民族宗教局事权事项）；区民族宗教局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《宗教事务条例》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区委统战部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宗教临时活动地点审批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区民族宗教局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区委统战部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宗教团体、宗教院校、宗教活动场所接受境外捐赠审批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区民族宗教局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《宗教事务条例》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区委统战部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华侨回国定居审批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区审批服务局（初审市审批服务局事权事项）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《中华人民共和国出境入境管理法》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《华侨回国定居办理工作规定》（国侨发〔2013〕18号）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区委编办</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事业单位登记</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区事业单位监督管理局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《事业单位登记管理暂行条例》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区发改局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固定资产投资项目核准（含国发〔2016〕72号文件规定的外商投资项目）</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区政府（由区审批服务局承办）</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《企业投资项目核准和备案管理条例》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《国务院关于发布政府核准的投资项目目录（2016年本）的通知》（国发〔2016〕72号）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《山东省人民政府关于发布政府核准的投资项目目录（山东省2017年本）的通知》（鲁政发〔2017〕31号）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区发改局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固定资产投资项目节能审查</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《中华人民共和国节约能源法》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《固定资产投资项目节能审查办法》（国家发展改革委令2016年第44号）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区发改局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在电力设施周围或者电力设施保护区内进行可能危及电力设施安全作业审批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区发改局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《中华人民共和国电力法》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区发改局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新建不能满足管道保护要求的石油天然气管道防护方案审批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《中华人民共和国石油天然气管道保护法》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区发改局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可能影响石油天然气管道保护的施工作业审批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《中华人民共和国石油天然气管道保护法》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民办、中外合作开办中等及以下学校和其他教育机构筹设审批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《中华人民共和国民办教育促进法》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《中华人民共和国中外合作办学条例》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《国务院关于当前发展学前教育的若干意见》（国发〔2010〕41号）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《枣庄市人民政府关于2019年第一批调整市级行政许可等事项的通知》（枣政发〔2019〕2号）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中等及以下学校和其他教育机构设置审批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《中华人民共和国教育法》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《中华人民共和国民办教育促进法》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《中华人民共和国民办教育促进法实施条例》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《中华人民共和国中外合作办学条例》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《国务院关于当前发展学前教育的若干意见》（国发〔2010〕41号）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《国务院办公厅关于规范校外培训机构发展的意见》（国办发〔2018〕80号）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《枣庄市人民政府关于2019年第一批调整市级行政许可等事项的通知》（枣政发〔2019〕2号）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从事文艺、体育等专业训练的社会组织自行实施义务教育审批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区教体局</w:t>
            </w:r>
          </w:p>
        </w:tc>
        <w:tc>
          <w:tcPr>
            <w:tcW w:w="6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校车使用许可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区政府（由区审批服务局会同区公安分局、区交通运输局承办）</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《校车安全管理条例》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教师资格认定</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区教体局</w:t>
            </w:r>
          </w:p>
        </w:tc>
        <w:tc>
          <w:tcPr>
            <w:tcW w:w="6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《中华人民共和国教师法》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《教师资格条例》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适龄儿童、少年因身体状况需要延缓入学或者休学审批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区教体局；镇政府（街道办事处）</w:t>
            </w:r>
          </w:p>
        </w:tc>
        <w:tc>
          <w:tcPr>
            <w:tcW w:w="6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举办健身气功活动及设立站点审批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《健身气功管理办法》（体育总局令2006年第9号）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《山东省人民政府关于公布省级保留的行政许可事项、非行政许可审批事项和取消、下放的行政审批事项的决定》（省政府令第230号）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高危险性体育项目经营许可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《全民健身条例》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《枣庄市人民政府关于公布市级取消、下放、调整和保留的行政许可事项的决定》（市政府令第137号）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《枣庄市人民政府关于承接省下放行政审批事项和2015年第一批取消下放市级行政审批事项的通知》（枣政字〔2015〕21号）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区教体局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临时占用公共体育设施审批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《中华人民共和国体育法》</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《中共薛城区委办公室薛城区人民政府办公室关于印发&lt;薛城区推进相对集中行政许可权改革组建区行政审批服务局方案&gt;的通知》（薛办发〔2018〕36号）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民用枪支及枪支主要零部件、弹药配置许可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举行集会游行示威许可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《中华人民共和国集会游行示威法》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《中华人民共和国集会游行示威法实施条例》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《山东省实施〈中华人民共和国集会游行示威法〉办法》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大型群众性活动安全许可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《中华人民共和国消防法》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公章刻制业特种行业许可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《印铸刻字业暂行管理规则》</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旅馆业特种行业许可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《旅馆业治安管理办法》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互联网上网服务营业场所信息网络安全审核</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举办焰火晚会及其他大型焰火燃放活动许可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《烟花爆竹安全管理条例》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烟花爆竹道路运输许可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薛城公安分局（运达地或者启运地）</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《烟花爆竹安全管理条例》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民用爆炸物品购买许可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民用爆炸物品运输许可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薛城公安分局（运达地）</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剧毒化学品购买许可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剧毒化学品道路运输通行许可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放射性物品道路运输许可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《中华人民共和国核安全法》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运输危险化学品的车辆进入危险化学品运输车辆限制通行区域审批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易制毒化学品购买许可（除第一类中的药品类易制毒化学品外）</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《中华人民共和国禁毒法》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易制毒化学品运输许可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《中华人民共和国禁毒法》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金融机构营业场所和金库安全防范设施建设方案审批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金融机构营业场所和金库安全防范设施建设工程验收</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机动车登记</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薛城公安分局交警大队</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机动车临时通行牌证核发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薛城公安分局交警大队</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机动车检验合格标志核发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薛城公安分局交警大队</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机动车驾驶证核发、审验</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薛城公安分局交警大队</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校车驾驶资格许可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薛城公安分局交警大队</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非机动车登记</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薛城公安分局交警大队</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《中华人民共和国道路交通安全法》《山东省电动自行车管理办法》（省政府令第348号）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涉路施工交通安全审查</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薛城公安分局交警大队</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《中华人民共和国道路交通安全法》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《中华人民共和国公路法》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户口迁移审批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《中华人民共和国户口登记条例》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《枣庄市人民政府关于公布市级取消、下放、调整和保留的行政许可事项的决定》（市政府令第137号）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犬类准养证核发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薛城公安分局（出台枣庄市养犬管理办法后实施）</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《中华人民共和国动物防疫法》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《中华人民共和国传染病防治法实施办法》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普通护照签发</w:t>
            </w:r>
          </w:p>
        </w:tc>
        <w:tc>
          <w:tcPr>
            <w:tcW w:w="2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薛城公安分局（受理国家移民局事权事项）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出入境通行证签发</w:t>
            </w:r>
          </w:p>
        </w:tc>
        <w:tc>
          <w:tcPr>
            <w:tcW w:w="2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薛城公安分局（受理国家移民局事权事项）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《中华人民共和国护照法》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《中国公民因私事往来香港地区或者澳门地区的暂行 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边境管理区通行证核发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《边境管理区通行证管理办法》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内地居民前往港澳通行证、往来港澳通行证及签注签发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薛城公安分局（受理中华人民共和国出入境管理局事权事项）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《出境入境管理法》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港澳居民来往内地通行证签发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薛城公安分局（受理中华人民共和国出入境管理局事权事项）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《出境入境管理法》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港澳居民定居证明签发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薛城公安分局（受理中华人民共和国出入境管理局事权事项）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大陆居民往来台湾通行证及签注签发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薛城公安分局（受理中华人民共和国出入境管理局事权事项）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《出境入境管理法》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台湾居民来往大陆通行证签发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薛城公安分局（受理中华人民共和国出入境管理局事权事项）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台湾居民定居证明签发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薛城公安分局（受理部分中华人民共和国出入境管理局事权事项）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临时占用道路从事大型活动的许可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薛城公安分局交警大队</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在限制、禁止的区域或者路段通行、停靠机动车的许可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薛城公安分局交警大队</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社会团体成立、变更、注销登记及修改章程核准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区审批服务局（实行登记管理机关和业务主管单位双重负责管理体制的，由有关业务主管单位实施前置审查）</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《社会团体登记管理条例》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民办非企业单位成立、变更、注销登记及修改章程核准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区审批服务局（实行登记管理机关和业务主管单位双重负责管理体制的，由有关业务主管单位实施前置审查）</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《民办非企业单位登记管理暂行条例》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宗教活动场所法人成立、变更、注销登记</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区审批服务局（由区民族宗教局实施前置审查）</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《宗教事务条例》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慈善组织公开募捐资格审批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《中华人民共和国慈善法》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殡葬设施建设审批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《殡葬管理条例》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《国务院关于深化“证照分离”改革进一步激发市场主体发展活力的通知》（国发〔2021〕7号）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《枣庄市人民政府关于2016年第二批调整行政权力事项的通知》（枣政字〔2016〕38号）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地名命名、更名审批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区财政局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中介机构从事代理记账业务审批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《中华人民共和国会计法》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《代理记账管理办法》（财政部令第80号，2019年3月财政部令第98号修正）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区人社局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职业培训学校筹设审批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《中华人民共和国民办教育促进法》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《中华人民共和国中外合作办学条例》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《枣庄市人民政府关于2018年第一批调整市级行政权力事项的通知》（枣政字〔2018〕14号）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区人社局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职业培训学校办学许可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《中华人民共和国民办教育促进法》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《中华人民共和国中外合作办学条例》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《枣庄市人民政府关于2018年第一批调整市级行政权力事项的通知》（枣政字〔2018〕14号）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区人社局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人力资源服务许可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《中华人民共和国就业促进法》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《人力资源市场暂行条例》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《枣庄市人民政府关于2018年第一批调整市级行政权力事项的通知》（枣政字〔2018〕14号）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区人社局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劳务派遣经营许可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《中华人民共和国劳动合同法》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《劳务派遣行政许可实施办法》（人力资源社会保障部令第19号）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《枣庄市人民政府关于2018年第一批调整市级行政权力事项的通知》（枣政字〔2018〕14号）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区人社局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企业实行不定时工作制和综合计算工时工作制审批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《中华人民共和国劳动法》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《关于企业实行不定时工作制和综合计算工时工作制的审批办法》（劳部发〔1994〕503号）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开采矿产资源审批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《中华人民共和国矿产资源法》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《中华人民共和国矿产资源法实施细则》</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《矿产资源开采登记管理办法》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法人或者其他组织需要利用属于国家秘密的基础测绘成果审批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《中华人民共和国测绘成果管理条例》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《基础测绘成果提供使用管理暂行办法》（国测法字〔2006〕13号）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国有建设用地使用权出让后土地使用权分割转让批准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乡（镇）村企业使用集体建设用地审批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区政府（由区自然资源局承办）</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乡（镇）村公共设施、公益事业使用集体建设用地审批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区政府（由区自然资源局承办）</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临时用地审批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《中华人民共和国土地管理法》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《自然资源部关于规范临时用地管理的通知》（自然资规〔2021〕2号）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《山东省自然资源厅转发《自然资源部关于规范临时用地管理的通知》的通知》（鲁自然资字〔2021〕219号）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开发未确定使用权的国有荒山、荒地、荒滩从事生产审查</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区政府（由区自然资源局承办）</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《中华人民共和国土地管理法》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林草种子生产经营许可证核发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《中华人民共和国种子法》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《山东省种子条例》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林草植物检疫证书核发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《植物检疫条例》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《枣庄市人民政府关于公布市级取消、下放、调整和保留的行政许可事项的决定》（市政府令第137号）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建设项目使用林地及在森林和野生动物类型国家级自然保护区建设审批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《中华人民共和国森林法》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《中华人民共和国森林法实施条例》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《森林和野生动物类型自然保护区管理办法》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建设项目使用草原审批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《中华人民共和国草原法》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林木采伐许可证核发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《中华人民共和国森林法》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《中华人民共和国森林法实施条例》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《枣庄市人民政府关于公布市级取消、下放、调整和保留的行政许可事项的决定》（市政府令第137号）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从事营利性治沙活动许可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在风景名胜区内从事建设、设置广告、举办大型游乐活动以及其他影响生态和景观活动许可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进入自然保护区从事有关活动审批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《中华人民共和国自然保护区条例》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猎捕陆生野生动物审批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《中华人民共和国野生动物保护法》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《中华人民共和国陆生野生动物保护实施条例》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《山东省实施〈中华人民共和国野生动物保护法〉办法》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森林草原防火期内在森林草原防火区野外用火审批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区政府（由区审批服务局承办）</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《森林防火条例》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《草原防火条例》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《山东省实施〈森林防火条例〉办法》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森林草原防火期内在森林草原防火区爆破、勘察和施工等活动审批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《森林防火条例》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进入森林高火险区、草原防火管制区审批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w:t>
            </w:r>
            <w:bookmarkStart w:id="0" w:name="_GoBack"/>
            <w:bookmarkEnd w:id="0"/>
            <w:r>
              <w:rPr>
                <w:rFonts w:hint="default" w:ascii="Times New Roman" w:hAnsi="Times New Roman" w:eastAsia="宋体" w:cs="Times New Roman"/>
                <w:i w:val="0"/>
                <w:iCs w:val="0"/>
                <w:color w:val="000000"/>
                <w:kern w:val="0"/>
                <w:sz w:val="22"/>
                <w:szCs w:val="22"/>
                <w:u w:val="none"/>
                <w:lang w:val="en-US" w:eastAsia="zh-CN" w:bidi="ar"/>
              </w:rPr>
              <w:t>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《森林防火条例》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《草原防火条例》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《枣庄市人民政府关于公布市级取消、下放、调整和保留的行政许可事项的决定》（市政府令第137号）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工商企业等社会资本通过流转取得林地经营权审批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区政府（由区自然资源局承办）</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人工繁育省重点保护陆生野生动物许可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《山东省实施〈中华人民共和国野生动物保护法〉办法》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出售、购买、利用省重点保护陆生野生动物及其制品审批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《山东省实施〈中华人民共和国野生动物保护法〉办法》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8"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区自然资源局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外国人对省重点保护陆生野生动物进行野外考察或者在野外拍摄电影、录像审批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《山东省实施〈中华人民共和国野生动物保护法〉办法》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薛城生态环境分局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一般建设项目环境影响评价审批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薛城生态环境分局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《中华人民共和国环境保护法》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《中华人民共和国环境影响评价法》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《中华人民共和国水污染防治法》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《中华人民共和国大气污染防治法》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《中华人民共和国土壤污染防治法》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《中华人民共和国固体废物污染环境防治法》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《中华人民共和国噪声污染防治法》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薛城生态环境分局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江河、湖泊新建、改建或者扩大排污口审批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薛城生态环境分局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《中华人民共和国水法》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《中华人民共和国水污染防治法》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《中央编办关于生态环境部流域生态环境监管机构设置有关事项的通知》（中编办发〔2019〕26号）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薛城生态环境分局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危险废物经营许可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薛城生态环境分局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《中华人民共和国固体废物污染环境防治法》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薛城生态环境分局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放射性核素排放许可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薛城生态环境分局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4"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建筑工程施工许可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《中华人民共和国建筑法》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《建筑工程施工许可管理办法》（住房城乡建设部令第18号公布，住房城乡建设部令第52号修正）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商品房预售许可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《中华人民共和国城市房地产管理法》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《山东省商品房销售条例》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燃气经营许可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《城镇燃气管理条例》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《枣庄市人民政府关于2017年第一批调整市级行政权力事项的通知》（枣政字〔2017〕19号）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燃气经营者改动市政燃气设施审批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《城镇燃气管理条例》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《国务院关于第六批取消和调整行政审批项目的决定》（国发〔2012〕52号）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《枣庄市人民政府关于2017年第一批调整市级行政权力事项的通知》（枣政字〔2017〕19号）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历史建筑实施原址保护审批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区审批服务局会同区文旅局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《历史文化名城名镇名村保护条例》</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历史文化街区、名镇、名村核心保护范围内拆除历史建筑以外的建筑物、构筑物或者其他设施审批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区审批服务局会同区文旅局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《历史文化名城名镇名村保护条例》</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8"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历史建筑外部修缮装饰、添加设施以及改变历史建筑的结构或者使用性质审批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区审批服务局会同区文旅局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《历史文化名城名镇名村保护条例》</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建设工程消防设计审查</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《中华人民共和国消防法》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《建设工程消防设计审查验收管理暂行规定》（住房城乡建设部令第51号）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建设工程消防验收</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《中华人民共和国消防法》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《建设工程消防设计审查验收管理暂行规定》（住房城乡建设部令第51号）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在村庄、集镇规划区内公共场所修建临时建筑等设施审批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镇政府（街道办事处）</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建筑起重机械使用登记</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《中华人民共和国特种设备安全法》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供热经营许可证核发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《山东省供热条例》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《山东省供热经营许可管理办法》（鲁建燃热字〔2016〕14号）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7"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供热企业停业许可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《山东省供热条例》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《山东省城市建设管理条例》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应建防空地下室的民用建筑项目报建审批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《中共中央 国务院 中央军委关于加强人民防空工作的决定》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区住建局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拆除人民防空工程审批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《中华人民共和国人民防空法》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公路建设项目设计文件审批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《中华人民共和国公路法》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《建设工程质量管理条例》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《建设工程勘察设计管理条例》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《农村公路建设管理办法》（交通运输部令2018年第4号）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公路建设项目施工许可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《中华人民共和国公路法》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《公路建设市场管理办法》（交通部令2004年第14号公布，交通运输部令2015年第11号修正）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公路建设项目竣工验收</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《中华人民共和国公路法》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《收费公路管理条例》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《公路工程竣（交）工验收办法》（交通部令2004年第3号）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《农村公路建设管理办法》（交通运输部令2018年第4号）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7"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公路超限运输许可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《中华人民共和国公路法》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《公路安全保护条例》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涉路施工许可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《中华人民共和国公路法》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《公路安全保护条例》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《路政管理规定》（交通部令2003年第2号公布，交通运输部令2016年第81号修正）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更新采伐护路林审批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《中华人民共和国公路法》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《公路安全保护条例》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《路政管理规定》（交通部令2003年第2号公布，交通运输部令2016年第81号修正）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道路旅客运输经营许可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《中华人民共和国道路运输条例》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道路旅客运输站经营许可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《中华人民共和国道路运输条例》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道路货物运输经营许可（除使用4500千克及以下普通货运车辆从事普通货运经营外）</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《中华人民共和国道路运输条例》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《道路货物运输及站场管理规定》（交通部令2005年第6号公布，交通运输部令2019年第17号修正）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出租汽车经营许可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《巡游出租汽车经营服务管理规定》（交通运输部令2014年第16号公布，交通运输部令2021年第16号修正）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出租汽车车辆运营证核发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《巡游出租汽车经营服务管理规定》（交通运输部令2014年第16号公布，交通运输部令2021年第16号修正）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水运建设项目设计文件审批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《中华人民共和国港口法》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《中华人民共和国航道法》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《中华人民共和国航道管理条例》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《建设工程质量管理条例》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水运工程建设项目竣工验收</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《中华人民共和国港口法》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《中华人民共和国航道法》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《中华人民共和国航道管理条例》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《港口工程建设管理规定》（交通运输部令2018年第2号公布，交通运输部令2019年第32号修正）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《航道工程建设管理规定》（交通运输部令2019年第44号）</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设置或者撤销内河渡口审批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区政府（由区交运局承办）</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占用国防交通控制范围土地审批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《中华人民共和国国防交通法》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城市公共汽（电）车客运经营（含线路经营）许可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《山东省道路运输条例》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区交运局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使用浮桥或载客十二人以下船舶从事水路运输经营许可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《山东省水路交通条例》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《山东省渡运管理办法》（省政府令第203号）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4"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城镇污水排入排水管网许可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《城镇排水与污水处理条例》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《枣庄市人民政府关于公布市级取消、下放、调整和保留的行政许可事项的决定》（市政府令第137号）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4"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拆除、改动、迁移城市公共供水设施审核</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《城市供水条例》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拆除、改动城镇排水与污水处理设施审核</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《城镇排水与污水处理条例》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由于工程施工、设备维修等原因确需停止供水的审批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《城市供水条例》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供水企业停业歇业许可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《山东省城市建设管理条例》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水利基建项目初步设计文件审批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取水许可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《中华人民共和国水法》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《取水许可和水资源费征收管理条例》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河道管理范围内特定活动审批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《中华人民共和国河道管理条例》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《山东省实施〈中华人民共和国河道管理条例〉办法》（省政府令第19号）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河道采砂许可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《中华人民共和国水法》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《中华人民共和国河道管理条例》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《山东省实施〈中华人民共和国河道管理条例〉办法》（省政府令第19号）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生产建设项目水土保持方案审批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《中华人民共和国水土保持法》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农村集体经济组织修建水库审批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《中华人民共和国水法》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城市建设填堵水域、废除围堤审批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区政府（由区审批服务局承办）</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《中华人民共和国防洪法》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占用农业灌溉水源、灌排工程设施审批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7"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坝顶兼做公路审批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《水库大坝安全管理条例》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《山东省人民政府关于取消和下放行政审批事项的决定》（省政府令第264号）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《枣庄市人民政府关于公布市级取消、下放、调整和保留的行政许可事项的决定》（市政府令第137号）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蓄滞洪区避洪设施建设审批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大坝管理和保护范围内修建码头、渔塘许可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《水库大坝安全管理条例》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洪水影响评价类审批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《中华人民共和国水法》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《中华人民共和国防洪法》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《中华人民共和国河道管理条例》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《中华人民共和国水文条例》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区城乡水务局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利用堤顶、戗台兼做公路审批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《中华人民共和国河道管理条例》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《山东省黄河河道管理条例》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《山东省实施&lt;中华人民共和国河道管理条例&gt;办法》（省政府令第19号）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《枣庄市人民政府关于取消下放和保留市级行政审批事项的决定》（市政府令第140号）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农药经营许可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《农药管理条例》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4"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食用菌菌种生产经营许可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区审批服务局（受理省农业农村厅事权事项）；区审批服务局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《中华人民共和国种子法》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《食用菌菌种管理办法》（农业部令2006年第62号公布，农业部令2015年第1号修正）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使用低于国家或地方规定的种用标准的农作物种子审批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区政府（由区农业农村局承办）</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蚕种生产经营许可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区审批服务局（受理省农业农村厅事权事项）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《中华人民共和国畜牧法》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《蚕种管理办法》（农业部令2006年第68号）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农业植物检疫证书核发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《植物检疫条例》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农业植物产地检疫合格证签发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《植物检疫条例》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农业野生植物采集、出售、收购、野外考察审批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区审批服务局（受理省农业农村厅关于采集国家二级保护野生植物的事权事项）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《中华人民共和国野生植物保护条例》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拖拉机和联合收割机驾驶证核发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《中华人民共和国道路交通安全法》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《农业机械安全监督管理条例》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拖拉机和联合收割机登记</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《中华人民共和国道路交通安全法》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《农业机械安全监督管理条例》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工商企业等社会资本通过流转取得土地经营权审批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区政府（由区农业农村局承办）；镇政府（街道办事处）（由农业农村部门或者农村经营管理部门承办）</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《中华人民共和国农村土地承包法》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《农村土地经营权流转管理办法》（农业农村部令2021年第1号）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农村村民宅基地审批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镇政府（街道办事处）</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水产苗种生产经营审批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《中华人民共和国渔业法》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《水产苗种管理办法》（农业部令2005年第46号）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《农业转基因生物安全管理条例》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《枣庄市人民政府关于公布市级取消、下放、调整和保留的行政许可事项的决定》（市政府令第137号）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水域滩涂养殖证核发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区政府（由区审批服务局承办）</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《中华人民共和国渔业法》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猎捕省重点保护水生野生动物审批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《山东省实施〈中华人民共和国野生动物保护法〉办法》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出售、购买、利用省重点保护水生野生动物及其制品审批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《山东省实施〈中华人民共和国野生动物保护法〉办法》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人工繁育省重点保护水生野生动物审批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《山东省实施〈中华人民共和国野生动物保护法〉办法》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外国人在我省对省重点保护水生野生动物进行野外考察或者在野外拍摄电影、录像等活动审批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《山东省实施〈中华人民共和国野生动物保护法〉办法》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农作物种子生产经营许可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《中华人民共和国种子法》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《农业转基因生物安全管理条例》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《转基因棉花种子生产经营许可规定》（农业部公告第2436号公布，农业农村部令2019年第2号修正）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动物及动物产品检疫合格证核发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《中华人民共和国动物防疫法》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《动物检疫管理办法》（农业部令2010年第6号公布，农业农村部令2019年第2号修正）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兽药经营许可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《兽药管理条例》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种畜禽生产经营许可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《中华人民共和国畜牧法》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《农业转基因生物安全管理条例》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《养蜂管理办法（试行）》（农业部公告第1692号）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动物防疫条件合格证核发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《中华人民共和国动物防疫法》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172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向无规定动物疫病区输入易感动物、动物产品的检疫审批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区审批服务局（受省畜牧局委托实施）</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《中华人民共和国动物防疫法》</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《动物检疫管理办法》（农业部令2010年第6号公布，农业农村部令2019年第2号修正）</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《山东省无规定动物疫病区管理办法》（省政府令第157号发布，省政府令第228号修正）</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动物诊疗许可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《中华人民共和国动物防疫法》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《动物诊疗机构管理办法》（农业部令2008年第19号公布，农业部令2017年第8号修正）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174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生鲜乳收购站许可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《乳品质量安全监督管理条例》</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生鲜乳准运证明核发</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《乳品质量安全监督管理条例》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文艺表演团体设立审批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《营业性演出管理条例》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营业性演出审批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《营业性演出管理条例》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《营业性演出管理条例实施细则》（文化部令第47号公布，文化部令第57号修正）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娱乐场所经营活动审批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《娱乐场所管理条例》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互联网上网服务营业场所筹建审批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《互联网上网服务营业场所管理条例》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互联网上网服务经营活动审批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《互联网上网服务营业场所管理条例》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建设工程文物保护许可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区政府（由区审批服务局承办，征得上一级文化和旅游部门同意）；区审批服务局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《中华人民共和国文物保护法》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《山东省文物保护条例》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182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文物保护单位原址保护措施审批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区文旅局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核定为文物保护单位的属于国家所有的纪念建筑物或者古建筑改变用途审批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区政府（由区审批服务局承办，征得上一级文化和旅游部门同意）</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《中华人民共和国文物保护法》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不可移动文物修缮审批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《中华人民共和国文物保护法》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非国有文物收藏单位和其他单位借用国有馆藏文物审批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《中华人民共和国文物保护法》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博物馆处理不够入藏标准、无保存价值的文物或标本审批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对尚未被认定为文物的监管物品审核</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《山东省文物保护条例》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广播电视专用频段频率使用许可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区文旅局（受理广电总局事权事项并逐级上报）</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广播电台、电视台设立、终止审批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区文旅局（受理广电总局事权事项并逐级上报）</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广播电台、电视台变更台名、台标、节目设置范围或节目套数审批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区文旅局（受理广电总局事权事项并逐级上报）</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乡镇设立广播电视站和机关、部队、团体、企业事业单位设立有线广播电视站审批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区审批服务局（初审省广电局事权事项）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《广播电视管理条例》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《广播电视站审批管理暂行规定》（广播电影电视总局令第32号）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广播电视视频点播业务审批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区审批服务局（受理省广电局事权事项并逐级上报）</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《广播电视视频点播业务管理办法》（广播电影电视总局令第35号公布，广播电视总局令第9号修正）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《山东省人民政府关于取消和下放行政审批事项的决定》（省政府令第264号）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卫星电视广播地面接收设施安装服务许可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区审批服务局（初审省广电局事权事项）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《卫星电视广播地面接收设施管理规定》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《卫星电视广播地面接收设施安装服务暂行办法》（广播电影电视总局令第60号公布，广播电视总局令第10号修正）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《广电总局关于设立卫星地面接收设施安装服务机构审批事项的通知》（广发〔2010〕24号）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设置卫星电视广播地面接收设施审批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区审批服务局（初审省广电局事权事项）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《广播电视管理条例》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《卫星电视广播地面接收设施管理规定》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出版物零售业务经营许可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《出版管理条例》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区文旅局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电影放映单位设立审批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区审批服务局（受省电影局委托实施）；区审批服务局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《中华人民共和国电影产业促进法》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《电影管理条例》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《外商投资电影院暂行规定》（广播电影电视总局、商务部、文化部令第21号公布，广播电影电视总局令第51号修正）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《山东省人民政府关于取消和下放行政审批事项的决定》（省政府令第264号）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饮用水供水单位卫生许可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《中华人民共和国传染病防治法》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《枣庄市人民政府关于承接省下放行政审批事项和2015年第一批取消下放行政审批事项的通知》（枣政字〔2015〕21号）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公共场所卫生许可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《中华人民共和国传染病防治法》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《枣庄市人民政府关于承接省下放行政审批事项和2015年第一批取消下放行政审批事项的通知》（枣政字〔2015〕21号）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医疗机构建设项目放射性职业病危害预评价报告审核</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《中华人民共和国职业病防治法》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《放射诊疗管理规定》（卫生部令第46号公布，国家卫生计生委令第8号修正）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医疗机构建设项目放射性职业病防护设施竣工验收</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《中华人民共和国职业病防治法》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《放射诊疗管理规定》（卫生部令第46号公布，国家卫生计生委令第8号修正）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医疗机构设置审批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《医疗机构管理条例》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医疗机构执业登记</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《医疗机构管理条例》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母婴保健技术服务机构执业许可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《中华人民共和国母婴保健法》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《中华人民共和国母婴保健法实施办法》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《母婴保健专项技术服务许可及人员资格管理办法》（卫妇发〔1995〕7号公布，国家卫生健康委令第7号修正）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《薛城区人民政府关于深化相对集中行政许可权改革规范行政审批服务工作的通知》（薛政字〔2020〕39号）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放射源诊疗技术和医用辐射机构许可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《放射性同位素与射线装置安全和防护条例》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《放射诊疗管理规定》（卫生部令第46号公布，国家卫生计生委令第8号修正）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单采血浆站设置审批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区审批服务局（初审省卫生健康委〔省中医药局〕事权事项）</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《血液制品管理条例》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2"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医师执业注册</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《中华人民共和国医师法》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《医师执业注册管理办法》（国家卫生计生委令第13号）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乡村医生执业注册</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《乡村医生从业管理条例》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母婴保健服务人员资格认定</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《中华人民共和国母婴保健法》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《中华人民共和国母婴保健法实施办法》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《母婴保健专项技术服务许可及人员资格管理办法》（卫妇发〔1995〕7号公布，国家卫生健康委令第7号修正）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《国家职业资格目录（2021年版）》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护士执业注册</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《护士条例》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《国家职业资格目录（2021年版）》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确有专长的中医医师资格认定</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区卫健局（受理省卫生健康委〔省中医药局〕事权事项并逐级上报）</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《中华人民共和国中医药法》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《中医医术确有专长人员医师资格考核注册管理暂行办法》（国家卫生计生委令第15号）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确有专长的中医医师执业注册</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《中华人民共和国中医药法》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《中医医术确有专长人员医师资格考核注册管理暂行办法》（国家卫生计生委令第15号）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中医医疗机构设置审批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《中华人民共和国中医药法》</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《医疗机构管理条例》</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区卫健局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中医医疗机构执业登记</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《中华人民共和国中医药法》</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《医疗机构管理条例》</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区应急管理局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石油天然气建设项目安全设施设计审查</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《中华人民共和国安全生产法》</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《建设项目安全设施“三同时”监督管理办法》（安全监管总局令第36号公布，安全监管总局令第77号修正）</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《国家安全监管总局办公厅关于明确非煤矿山建设项目安全监管职责等事项的通知》（安监总厅管一〔2013〕143号）</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区应急管理局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金属冶炼建设项目安全设施设计审查</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《中华人民共和国安全生产法》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《建设项目安全设施“三同时”监督管理办法》（安全监管总局令第36号公布，安全监管总局令第77号修正）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《冶金企业和有色金属企业安全生产规定》（安全监管总局令第91号）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区应急管理局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危险化学品经营许可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《危险化学品安全管理条例》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《危险化学品经营许可证管理办法》（安全监管总局令第55号公布，安全监管总局令第79号修正）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区应急管理局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生产、储存烟花爆竹建设项目安全设施设计审查</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《中华人民共和国安全生产法》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《建设项目安全设施“三同时”监督管理办法》（安全监管总局令第36号公布，安全监管总局令第77号修正）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区应急管理局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烟花爆竹经营许可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《烟花爆竹安全管理条例》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《烟花爆竹经营许可实施办法》（安全监管总局令第65号）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区应急管理局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矿山建设项目安全设施设计审查</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《中华人民共和国安全生产法》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《煤矿安全监察条例》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《煤矿建设项目安全设施监察规定》（安全监管总局令第6号公布，安全监管总局令第81号修正）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《建设项目安全设施“三同时”监督管理办法》（安全监管总局令第36号公布，安全监管总局令第77号修正）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《国家安全监管总局办公厅关于切实做好国家取消和下放投资审批有关建设项目安全监管工作的通知》（安监总厅政法〔2013〕120号）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《国家安全监管总局办公厅关于明确非煤矿山建设项目安全监管职责等事项的通知》（安监总厅管一〔2013〕143号）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《中华人民共和国应急管理部公告》（2021年第1号）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区应急管理局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一般工程抗震设防要求审定</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《山东省防震减灾条例》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《山东省建设工程抗震设防条例》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区应急管理局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地震观测环境保护范围内建设工程项目审批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《山东省地震监测设施与地震观测环境保护条例》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区消防救援大队</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公众聚集场所投入使用、营业前消防安全检查</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区消防救援大队</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《中华人民共和国消防法》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《枣庄市人民政府关于公布市级取消、下放、调整和保留的行政许可事项的决定》（市政府令第137号）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食品生产许可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《中华人民共和国食品安全法》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《食品生产许可管理办法》（市场监管总局令第24号）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食品添加剂生产许可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《中华人民共和国食品安全法》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《食品生产许可管理办法》（市场监管总局令第24号）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食品经营许可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《中华人民共和国食品安全法》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特种设备使用登记</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《中华人民共和国特种设备安全法》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《特种设备安全监察条例》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《山东省特种设备安全条例》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特种设备安全管理和作业人员资格认定</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《中华人民共和国特种设备安全法》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《特种设备安全监察条例》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《特种设备作业人员监督管理办法》（质检总局令第70号公布，质检总局令第140号修正）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计量标准器具核准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《中华人民共和国计量法》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《中华人民共和国计量法实施细则》</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承担国家法定计量检定机构任务授权</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《中华人民共和国计量法》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企业登记注册</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《中华人民共和国公司法》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《中华人民共和国合伙企业法》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《中华人民共和国个人独资企业法》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《中华人民共和国外商投资法》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《中华人民共和国外商投资法实施条例》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《中华人民共和国市场主体登记管理条例》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个体工商户登记注册</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《个体工商户条例》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农民专业合作社登记注册</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《中华人民共和国农民专业合作社法》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《中华人民共和国市场主体登记管理条例》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食品小作坊、小餐饮登记</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《山东省食品小作坊小餐饮和食品摊点管理条例》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区地方金融监管局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农民专业合作社开展信用互助业务审批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区地方金融监管局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《山东省地方金融条例》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235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区综合行政执法局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关闭、闲置、拆除城市环境卫生设施许可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区审批服务局会同薛城生态环境分局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《中华人民共和国固体废物污染环境防治法》</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区综合行政执法局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拆除环境卫生设施许可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《城市市容和环境卫生管理条例》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区综合行政执法局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从事城市生活垃圾经营性清扫、收集、运输、处理服务审批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区综合行政执法局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城市建筑垃圾处置核准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239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区综合行政执法局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市政设施建设类审批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区政府（由区审批服务局承办）；区审批服务局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《城市道路管理条例》</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区综合行政执法局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特殊车辆在城市道路上行驶审批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《城市道路管理条例》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区综合行政执法局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改变绿化规划、绿化用地的使用性质审批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区综合行政执法局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工程建设涉及城市绿地、树木审批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《城市绿化条例》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区综合行政执法局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设置大型户外广告及在城市建筑物、设施上悬挂、张贴宣传品审批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《城市市容和环境卫生管理条例》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区综合行政执法局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临时性建筑物搭建、堆放物料、占道施工审批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区审批服务局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《城市市容和环境卫生管理条例》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人行薛城支行</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银行账户开户许可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人行薛城支行</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人行薛城支行</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国库集中收付代理银行资格认定</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人行薛城支行</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经常项目收支企业核准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经常项目特定收支业务核准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经常项目外汇存放境外核准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《中华人民共和国外汇管理条例》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境外直接投资项下外汇登记核准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境内直接投资项下外汇登记核准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《中华人民共和国外汇管理条例》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外币现钞提取、出境携带、跨境调运核准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《中华人民共和国外汇管理条例》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跨境证券、衍生产品外汇业务核准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境内机构外债、跨境担保核准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《中华人民共和国外汇管理条例》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境内机构（不含银行业金融机构）对外债权核准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资本项目外汇资金结汇核准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资本项目外汇资金购付汇核准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经营或者终止结售汇业务审批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非银行金融机构经营、终止结售汇业务以外的外汇业务审批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国家外汇管理局薛城区支局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区税务局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增值税防伪税控系统最高开票限额审批</w:t>
            </w:r>
          </w:p>
        </w:tc>
        <w:tc>
          <w:tcPr>
            <w:tcW w:w="2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区税务局</w:t>
            </w:r>
          </w:p>
        </w:tc>
        <w:tc>
          <w:tcPr>
            <w:tcW w:w="6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区气象局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雷电防护装置设计审核</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区气象局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区气象局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雷电防护装置竣工验收</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区气象局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区气象局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升放无人驾驶自由气球或者系留气球活动审批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区气象局会同有关部门</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《通用航空飞行管制条例》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《国务院关于第六批取消和调整行政审批项目的决定》（国发〔2012〕52号）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《山东省人民政府关于公布省级保留的行政许可事项、非行政许可审批事项和取消、下放的行政审批事项的决定》（省政府令第230号）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区烟草专卖局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烟草专卖零售许可</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区烟草专卖局</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《中华人民共和国烟草专卖法》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《中华人民共和国烟草专卖法实施条例》</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sectPr>
          <w:pgSz w:w="16838" w:h="11906" w:orient="landscape"/>
          <w:pgMar w:top="1701" w:right="1701" w:bottom="1701" w:left="1701" w:header="1134" w:footer="1134" w:gutter="0"/>
          <w:pgNumType w:fmt="numberInDash"/>
          <w:cols w:space="0" w:num="1"/>
          <w:rtlGutter w:val="0"/>
          <w:docGrid w:type="lines" w:linePitch="312" w:charSpace="0"/>
        </w:sect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eastAsia="仿宋_GB2312" w:cs="Times New Roman"/>
          <w:b w:val="0"/>
          <w:bCs w:val="0"/>
          <w:sz w:val="32"/>
          <w:szCs w:val="32"/>
          <w:highlight w:val="none"/>
        </w:rPr>
      </w:pPr>
      <w:r>
        <w:rPr>
          <w:rFonts w:hint="default" w:ascii="Times New Roman" w:hAnsi="Times New Roman"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288925</wp:posOffset>
                </wp:positionV>
                <wp:extent cx="570674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5.75pt;margin-top:22.75pt;height:0pt;width:449.35pt;z-index:251662336;mso-width-relative:page;mso-height-relative:page;" filled="f" stroked="t" coordsize="21600,21600" o:gfxdata="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ilJNcAAAAJAQAADwAAAAAAAAABACAAAAAiAAAA&#10;ZHJzL2Rvd25yZXYueG1sUEsBAhQAFAAAAAgAh07iQL/Z0bUIAgAABAQAAA4AAAAAAAAAAQAgAAAA&#10;JgEAAGRycy9lMm9Eb2MueG1sUEsFBgAAAAAGAAYAWQEAAKAFA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-207645</wp:posOffset>
                </wp:positionH>
                <wp:positionV relativeFrom="paragraph">
                  <wp:posOffset>14605</wp:posOffset>
                </wp:positionV>
                <wp:extent cx="570674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6.35pt;margin-top:1.15pt;height:0pt;width:449.35pt;z-index:251661312;mso-width-relative:page;mso-height-relative:page;" filled="f" stroked="t" coordsize="21600,21600" o:gfxdata="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&#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GLYF1gAAAAcBAAAPAAAAAAAAAAEAIAAAACIAAABk&#10;cnMvZG93bnJldi54bWxQSwECFAAUAAAACACHTuJAAyGR6QgCAAAEBAAADgAAAAAAAAABACAAAAAl&#10;AQAAZHJzL2Uyb0RvYy54bWxQSwUGAAAAAAYABgBZAQAAnwU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default" w:ascii="Times New Roman" w:hAnsi="Times New Roman" w:eastAsia="仿宋_GB2312" w:cs="Times New Roman"/>
          <w:bCs/>
          <w:color w:val="000000"/>
          <w:position w:val="11"/>
          <w:sz w:val="28"/>
          <w:szCs w:val="28"/>
          <w:lang w:val="en-US" w:eastAsia="zh-CN"/>
        </w:rPr>
        <w:t>8</w:t>
      </w:r>
      <w:r>
        <w:rPr>
          <w:rFonts w:hint="default" w:ascii="Times New Roman" w:hAnsi="Times New Roman" w:eastAsia="仿宋_GB2312" w:cs="Times New Roman"/>
          <w:bCs/>
          <w:color w:val="000000"/>
          <w:position w:val="11"/>
          <w:sz w:val="28"/>
          <w:szCs w:val="28"/>
        </w:rPr>
        <w:t>月</w:t>
      </w:r>
      <w:r>
        <w:rPr>
          <w:rFonts w:hint="default" w:ascii="Times New Roman" w:hAnsi="Times New Roman" w:eastAsia="仿宋_GB2312" w:cs="Times New Roman"/>
          <w:bCs/>
          <w:color w:val="000000"/>
          <w:position w:val="11"/>
          <w:sz w:val="28"/>
          <w:szCs w:val="28"/>
          <w:lang w:val="en-US" w:eastAsia="zh-CN"/>
        </w:rPr>
        <w:t>29</w:t>
      </w:r>
      <w:r>
        <w:rPr>
          <w:rFonts w:hint="default" w:ascii="Times New Roman" w:hAnsi="Times New Roman" w:eastAsia="仿宋_GB2312" w:cs="Times New Roman"/>
          <w:bCs/>
          <w:color w:val="000000"/>
          <w:position w:val="11"/>
          <w:sz w:val="28"/>
          <w:szCs w:val="28"/>
        </w:rPr>
        <w:t>日印发</w:t>
      </w:r>
    </w:p>
    <w:sectPr>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MWIyYzdkNDlhYjNhODY3MGM4MDdkOTllNTkyMjkifQ=="/>
  </w:docVars>
  <w:rsids>
    <w:rsidRoot w:val="0D0F3D99"/>
    <w:rsid w:val="000D676D"/>
    <w:rsid w:val="017635C9"/>
    <w:rsid w:val="01C718BB"/>
    <w:rsid w:val="0210372D"/>
    <w:rsid w:val="022A1B64"/>
    <w:rsid w:val="036363D4"/>
    <w:rsid w:val="04527D3C"/>
    <w:rsid w:val="04D23811"/>
    <w:rsid w:val="04E56DE7"/>
    <w:rsid w:val="051A60E2"/>
    <w:rsid w:val="053718C6"/>
    <w:rsid w:val="06824DC3"/>
    <w:rsid w:val="07047ECE"/>
    <w:rsid w:val="072E57F1"/>
    <w:rsid w:val="08D4742C"/>
    <w:rsid w:val="092403B3"/>
    <w:rsid w:val="094D16B8"/>
    <w:rsid w:val="0A3F32E7"/>
    <w:rsid w:val="0A8455AD"/>
    <w:rsid w:val="0B941820"/>
    <w:rsid w:val="0BBE064B"/>
    <w:rsid w:val="0D0F3D99"/>
    <w:rsid w:val="0D1371D9"/>
    <w:rsid w:val="0D326EE6"/>
    <w:rsid w:val="0E2652ED"/>
    <w:rsid w:val="0E963B01"/>
    <w:rsid w:val="0EA77ABC"/>
    <w:rsid w:val="0FF24D67"/>
    <w:rsid w:val="10147B52"/>
    <w:rsid w:val="10240C99"/>
    <w:rsid w:val="10923E54"/>
    <w:rsid w:val="10D83E1C"/>
    <w:rsid w:val="116F23E8"/>
    <w:rsid w:val="12476D55"/>
    <w:rsid w:val="12704840"/>
    <w:rsid w:val="127C0A3D"/>
    <w:rsid w:val="13976F69"/>
    <w:rsid w:val="13B87249"/>
    <w:rsid w:val="13C26E3B"/>
    <w:rsid w:val="151310E6"/>
    <w:rsid w:val="154F16C1"/>
    <w:rsid w:val="16481603"/>
    <w:rsid w:val="17C44570"/>
    <w:rsid w:val="18E50795"/>
    <w:rsid w:val="1B2A5112"/>
    <w:rsid w:val="1B6D5BEA"/>
    <w:rsid w:val="1B9A62B3"/>
    <w:rsid w:val="1BEA723A"/>
    <w:rsid w:val="1BF21D38"/>
    <w:rsid w:val="1CD946D8"/>
    <w:rsid w:val="1E0153F8"/>
    <w:rsid w:val="1F9957E4"/>
    <w:rsid w:val="1FD55B0C"/>
    <w:rsid w:val="20283BDB"/>
    <w:rsid w:val="208A05B3"/>
    <w:rsid w:val="20D6053E"/>
    <w:rsid w:val="20E961E9"/>
    <w:rsid w:val="21670C1F"/>
    <w:rsid w:val="22D609BD"/>
    <w:rsid w:val="24482D50"/>
    <w:rsid w:val="2459703E"/>
    <w:rsid w:val="2467716F"/>
    <w:rsid w:val="24724271"/>
    <w:rsid w:val="24D40A88"/>
    <w:rsid w:val="25077701"/>
    <w:rsid w:val="2519649B"/>
    <w:rsid w:val="25D725DE"/>
    <w:rsid w:val="28BD0715"/>
    <w:rsid w:val="2A730074"/>
    <w:rsid w:val="2AB23619"/>
    <w:rsid w:val="2AF518B3"/>
    <w:rsid w:val="2B514D73"/>
    <w:rsid w:val="2B935A45"/>
    <w:rsid w:val="2CCF183C"/>
    <w:rsid w:val="2CFB12A7"/>
    <w:rsid w:val="2D9B0395"/>
    <w:rsid w:val="2E113916"/>
    <w:rsid w:val="2F762E67"/>
    <w:rsid w:val="2FBD7B7E"/>
    <w:rsid w:val="30D86B55"/>
    <w:rsid w:val="30EC7526"/>
    <w:rsid w:val="3120175A"/>
    <w:rsid w:val="313649A0"/>
    <w:rsid w:val="314A051C"/>
    <w:rsid w:val="31C14142"/>
    <w:rsid w:val="32715B68"/>
    <w:rsid w:val="327765F8"/>
    <w:rsid w:val="333E55C8"/>
    <w:rsid w:val="338F4777"/>
    <w:rsid w:val="3488397B"/>
    <w:rsid w:val="3599760F"/>
    <w:rsid w:val="361433DA"/>
    <w:rsid w:val="36F54FB9"/>
    <w:rsid w:val="374B4E2C"/>
    <w:rsid w:val="37C702A9"/>
    <w:rsid w:val="37E455AA"/>
    <w:rsid w:val="393B77E3"/>
    <w:rsid w:val="39504729"/>
    <w:rsid w:val="39B437E0"/>
    <w:rsid w:val="3A800EA0"/>
    <w:rsid w:val="3AB76318"/>
    <w:rsid w:val="3B4F6CE1"/>
    <w:rsid w:val="3BB23479"/>
    <w:rsid w:val="3E6622F9"/>
    <w:rsid w:val="3E8D637F"/>
    <w:rsid w:val="3EBD7BD3"/>
    <w:rsid w:val="3EC611F6"/>
    <w:rsid w:val="3F295A31"/>
    <w:rsid w:val="40E83499"/>
    <w:rsid w:val="40FF6224"/>
    <w:rsid w:val="410A78B3"/>
    <w:rsid w:val="418D21FF"/>
    <w:rsid w:val="43505326"/>
    <w:rsid w:val="43515CE6"/>
    <w:rsid w:val="43EE526A"/>
    <w:rsid w:val="4406207C"/>
    <w:rsid w:val="444E5D09"/>
    <w:rsid w:val="44614777"/>
    <w:rsid w:val="45376011"/>
    <w:rsid w:val="45DD7314"/>
    <w:rsid w:val="460E1AB7"/>
    <w:rsid w:val="46C55724"/>
    <w:rsid w:val="4753688F"/>
    <w:rsid w:val="482B7781"/>
    <w:rsid w:val="48BC2899"/>
    <w:rsid w:val="48F52BF7"/>
    <w:rsid w:val="4AE37B1C"/>
    <w:rsid w:val="4BDD5FCD"/>
    <w:rsid w:val="4C3337D0"/>
    <w:rsid w:val="4CF66F3E"/>
    <w:rsid w:val="4EA85F0E"/>
    <w:rsid w:val="4EF1188A"/>
    <w:rsid w:val="4EFB4FE3"/>
    <w:rsid w:val="4F0A4F22"/>
    <w:rsid w:val="4FE737DD"/>
    <w:rsid w:val="50083210"/>
    <w:rsid w:val="5030546B"/>
    <w:rsid w:val="50B52C6C"/>
    <w:rsid w:val="510501AA"/>
    <w:rsid w:val="51C21AE4"/>
    <w:rsid w:val="51F50134"/>
    <w:rsid w:val="53202487"/>
    <w:rsid w:val="533138B0"/>
    <w:rsid w:val="54CC5550"/>
    <w:rsid w:val="550B2289"/>
    <w:rsid w:val="558E065B"/>
    <w:rsid w:val="56670CF5"/>
    <w:rsid w:val="56BC54B6"/>
    <w:rsid w:val="56DD0123"/>
    <w:rsid w:val="57A8672B"/>
    <w:rsid w:val="58F82016"/>
    <w:rsid w:val="5960230F"/>
    <w:rsid w:val="5B647396"/>
    <w:rsid w:val="5BD963A8"/>
    <w:rsid w:val="5C1E5C88"/>
    <w:rsid w:val="5C6914DA"/>
    <w:rsid w:val="5D8119F5"/>
    <w:rsid w:val="5E710B1A"/>
    <w:rsid w:val="60964868"/>
    <w:rsid w:val="618F19E3"/>
    <w:rsid w:val="622A06E2"/>
    <w:rsid w:val="62A87985"/>
    <w:rsid w:val="62AA0157"/>
    <w:rsid w:val="62C41341"/>
    <w:rsid w:val="64505292"/>
    <w:rsid w:val="66427B34"/>
    <w:rsid w:val="67066277"/>
    <w:rsid w:val="67A55390"/>
    <w:rsid w:val="683F7593"/>
    <w:rsid w:val="68E343C2"/>
    <w:rsid w:val="691B5628"/>
    <w:rsid w:val="6A1A7CF2"/>
    <w:rsid w:val="6A40173C"/>
    <w:rsid w:val="6AAB48E6"/>
    <w:rsid w:val="6C735BC4"/>
    <w:rsid w:val="6D1849F7"/>
    <w:rsid w:val="6DBF71A3"/>
    <w:rsid w:val="6DE24C48"/>
    <w:rsid w:val="6EAC488C"/>
    <w:rsid w:val="6EFB4E63"/>
    <w:rsid w:val="707E6013"/>
    <w:rsid w:val="70D00087"/>
    <w:rsid w:val="71140205"/>
    <w:rsid w:val="715220E5"/>
    <w:rsid w:val="718365B7"/>
    <w:rsid w:val="73335F46"/>
    <w:rsid w:val="744E4DF4"/>
    <w:rsid w:val="75324707"/>
    <w:rsid w:val="75B35DEE"/>
    <w:rsid w:val="75FB2811"/>
    <w:rsid w:val="764E36C9"/>
    <w:rsid w:val="76500BBD"/>
    <w:rsid w:val="765E777E"/>
    <w:rsid w:val="76F11715"/>
    <w:rsid w:val="777C4360"/>
    <w:rsid w:val="778B764A"/>
    <w:rsid w:val="77F263D0"/>
    <w:rsid w:val="78016983"/>
    <w:rsid w:val="7855117A"/>
    <w:rsid w:val="78611FA8"/>
    <w:rsid w:val="7A434120"/>
    <w:rsid w:val="7C0325D9"/>
    <w:rsid w:val="7C507AA6"/>
    <w:rsid w:val="7CBB1486"/>
    <w:rsid w:val="7CE64C88"/>
    <w:rsid w:val="7D627B54"/>
    <w:rsid w:val="7D790DF2"/>
    <w:rsid w:val="7E266DD3"/>
    <w:rsid w:val="7ED14F91"/>
    <w:rsid w:val="7EE35193"/>
    <w:rsid w:val="7FA7567E"/>
    <w:rsid w:val="7FC70142"/>
    <w:rsid w:val="BFBB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tabs>
        <w:tab w:val="right" w:leader="dot" w:pos="9060"/>
      </w:tabs>
      <w:spacing w:after="100" w:line="600" w:lineRule="exact"/>
      <w:jc w:val="left"/>
    </w:pPr>
    <w:rPr>
      <w:kern w:val="0"/>
      <w:sz w:val="22"/>
    </w:rPr>
  </w:style>
  <w:style w:type="paragraph" w:styleId="3">
    <w:name w:val="Plain Text"/>
    <w:basedOn w:val="1"/>
    <w:qFormat/>
    <w:uiPriority w:val="0"/>
    <w:pPr>
      <w:suppressAutoHyphens/>
    </w:pPr>
    <w:rPr>
      <w:rFonts w:ascii="宋体" w:hAnsi="宋体" w:cs="Courier New"/>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9">
    <w:name w:val="BodyText1I2"/>
    <w:basedOn w:val="10"/>
    <w:qFormat/>
    <w:uiPriority w:val="0"/>
    <w:pPr>
      <w:spacing w:after="120" w:afterLines="0"/>
      <w:ind w:left="420" w:leftChars="200" w:firstLine="420" w:firstLineChars="200"/>
      <w:jc w:val="both"/>
      <w:textAlignment w:val="baseline"/>
    </w:pPr>
  </w:style>
  <w:style w:type="paragraph" w:customStyle="1" w:styleId="10">
    <w:name w:val="BodyTextIndent"/>
    <w:basedOn w:val="1"/>
    <w:next w:val="11"/>
    <w:qFormat/>
    <w:uiPriority w:val="0"/>
    <w:pPr>
      <w:spacing w:after="120" w:afterLines="0"/>
      <w:ind w:left="420" w:leftChars="200"/>
      <w:jc w:val="both"/>
      <w:textAlignment w:val="baseline"/>
    </w:pPr>
  </w:style>
  <w:style w:type="paragraph" w:customStyle="1" w:styleId="11">
    <w:name w:val="NormalIndent"/>
    <w:basedOn w:val="1"/>
    <w:qFormat/>
    <w:uiPriority w:val="0"/>
    <w:pPr>
      <w:ind w:firstLine="420" w:firstLineChars="200"/>
      <w:jc w:val="both"/>
      <w:textAlignment w:val="baseline"/>
    </w:pPr>
    <w:rPr>
      <w:rFonts w:ascii="Calibri" w:hAnsi="Calibri" w:eastAsia="仿宋"/>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33998</Words>
  <Characters>35929</Characters>
  <Lines>0</Lines>
  <Paragraphs>0</Paragraphs>
  <TotalTime>0</TotalTime>
  <ScaleCrop>false</ScaleCrop>
  <LinksUpToDate>false</LinksUpToDate>
  <CharactersWithSpaces>36017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2022-08-22T17:28:00Z</dcterms:created>
  <dc:creator>大作家</dc:creator>
  <cp:lastModifiedBy>Administrator</cp:lastModifiedBy>
  <cp:lastPrinted>2022-08-31T00:46:00Z</cp:lastPrinted>
  <dcterms:modified xsi:type="dcterms:W3CDTF">2022-08-31T03:48:12Z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92B8B7962D6C439CB50440F5E744AFA0</vt:lpwstr>
  </property>
</Properties>
</file>