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DA322D">
      <w:pPr>
        <w:spacing w:line="240" w:lineRule="auto"/>
        <w:ind w:left="0" w:leftChars="0" w:firstLine="0" w:firstLineChars="0"/>
        <w:jc w:val="left"/>
        <w:rPr>
          <w:rFonts w:hint="eastAsia" w:ascii="方正小标宋简体" w:hAnsi="方正小标宋简体" w:eastAsia="方正小标宋简体" w:cs="方正小标宋简体"/>
          <w:sz w:val="44"/>
          <w:szCs w:val="44"/>
          <w:lang w:eastAsia="zh-CN"/>
        </w:rPr>
      </w:pPr>
      <w:r>
        <w:rPr>
          <w:rFonts w:hint="eastAsia" w:ascii="Times New Roman" w:hAnsi="Times New Roman" w:eastAsia="黑体" w:cs="Times New Roman"/>
          <w:b w:val="0"/>
          <w:bCs w:val="0"/>
          <w:sz w:val="32"/>
          <w:szCs w:val="32"/>
          <w:highlight w:val="none"/>
          <w:lang w:eastAsia="zh-CN"/>
        </w:rPr>
        <w:drawing>
          <wp:anchor distT="0" distB="0" distL="114300" distR="114300" simplePos="0" relativeHeight="251661312" behindDoc="1" locked="0" layoutInCell="1" allowOverlap="1">
            <wp:simplePos x="0" y="0"/>
            <wp:positionH relativeFrom="column">
              <wp:posOffset>-1051560</wp:posOffset>
            </wp:positionH>
            <wp:positionV relativeFrom="paragraph">
              <wp:posOffset>-764540</wp:posOffset>
            </wp:positionV>
            <wp:extent cx="7499985" cy="10606405"/>
            <wp:effectExtent l="0" t="0" r="0" b="0"/>
            <wp:wrapNone/>
            <wp:docPr id="5" name="图片 5" descr="5、政府办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政府办发"/>
                    <pic:cNvPicPr>
                      <a:picLocks noChangeAspect="1"/>
                    </pic:cNvPicPr>
                  </pic:nvPicPr>
                  <pic:blipFill>
                    <a:blip r:embed="rId7">
                      <a:clrChange>
                        <a:clrFrom>
                          <a:srgbClr val="FFFFFF">
                            <a:alpha val="100000"/>
                          </a:srgbClr>
                        </a:clrFrom>
                        <a:clrTo>
                          <a:srgbClr val="FFFFFF">
                            <a:alpha val="100000"/>
                            <a:alpha val="0"/>
                          </a:srgbClr>
                        </a:clrTo>
                      </a:clrChange>
                    </a:blip>
                    <a:stretch>
                      <a:fillRect/>
                    </a:stretch>
                  </pic:blipFill>
                  <pic:spPr>
                    <a:xfrm>
                      <a:off x="0" y="0"/>
                      <a:ext cx="7499985" cy="10606405"/>
                    </a:xfrm>
                    <a:prstGeom prst="rect">
                      <a:avLst/>
                    </a:prstGeom>
                  </pic:spPr>
                </pic:pic>
              </a:graphicData>
            </a:graphic>
          </wp:anchor>
        </w:drawing>
      </w:r>
      <w:r>
        <w:rPr>
          <w:rFonts w:hint="eastAsia" w:ascii="Times New Roman" w:hAnsi="Times New Roman" w:eastAsia="仿宋_GB2312" w:cs="Times New Roman"/>
          <w:color w:val="auto"/>
          <w:sz w:val="32"/>
          <w:szCs w:val="32"/>
          <w:lang w:eastAsia="zh-CN"/>
        </w:rPr>
        <w:t>XCDR-2024-0020001</w:t>
      </w:r>
    </w:p>
    <w:p w14:paraId="4961A188">
      <w:pPr>
        <w:keepNext w:val="0"/>
        <w:keepLines w:val="0"/>
        <w:pageBreakBefore w:val="0"/>
        <w:widowControl w:val="0"/>
        <w:kinsoku/>
        <w:overflowPunct/>
        <w:topLinePunct w:val="0"/>
        <w:autoSpaceDE/>
        <w:autoSpaceDN/>
        <w:bidi w:val="0"/>
        <w:adjustRightInd/>
        <w:snapToGrid/>
        <w:spacing w:line="600" w:lineRule="exact"/>
        <w:ind w:right="0" w:firstLine="2560" w:firstLineChars="800"/>
        <w:jc w:val="both"/>
        <w:textAlignment w:val="auto"/>
        <w:rPr>
          <w:rFonts w:hint="default" w:ascii="Times New Roman" w:hAnsi="Times New Roman" w:eastAsia="仿宋_GB2312" w:cs="Times New Roman"/>
          <w:color w:val="auto"/>
          <w:sz w:val="32"/>
          <w:szCs w:val="32"/>
        </w:rPr>
      </w:pPr>
    </w:p>
    <w:p w14:paraId="752316F5">
      <w:pPr>
        <w:keepNext w:val="0"/>
        <w:keepLines w:val="0"/>
        <w:pageBreakBefore w:val="0"/>
        <w:widowControl w:val="0"/>
        <w:kinsoku/>
        <w:overflowPunct/>
        <w:topLinePunct w:val="0"/>
        <w:autoSpaceDE/>
        <w:autoSpaceDN/>
        <w:bidi w:val="0"/>
        <w:adjustRightInd/>
        <w:snapToGrid/>
        <w:spacing w:line="600" w:lineRule="exact"/>
        <w:ind w:right="0" w:firstLine="2560" w:firstLineChars="800"/>
        <w:jc w:val="both"/>
        <w:textAlignment w:val="auto"/>
        <w:rPr>
          <w:rFonts w:hint="default" w:ascii="Times New Roman" w:hAnsi="Times New Roman" w:eastAsia="仿宋_GB2312" w:cs="Times New Roman"/>
          <w:color w:val="auto"/>
          <w:sz w:val="32"/>
          <w:szCs w:val="32"/>
        </w:rPr>
      </w:pPr>
    </w:p>
    <w:p w14:paraId="6D2D9140">
      <w:pPr>
        <w:keepNext w:val="0"/>
        <w:keepLines w:val="0"/>
        <w:pageBreakBefore w:val="0"/>
        <w:widowControl w:val="0"/>
        <w:kinsoku/>
        <w:overflowPunct/>
        <w:topLinePunct w:val="0"/>
        <w:autoSpaceDE/>
        <w:autoSpaceDN/>
        <w:bidi w:val="0"/>
        <w:adjustRightInd/>
        <w:snapToGrid/>
        <w:spacing w:line="600" w:lineRule="exact"/>
        <w:ind w:right="0" w:firstLine="2560" w:firstLineChars="800"/>
        <w:jc w:val="both"/>
        <w:textAlignment w:val="auto"/>
        <w:rPr>
          <w:rFonts w:hint="default" w:ascii="Times New Roman" w:hAnsi="Times New Roman" w:eastAsia="仿宋_GB2312" w:cs="Times New Roman"/>
          <w:color w:val="auto"/>
          <w:sz w:val="32"/>
          <w:szCs w:val="32"/>
        </w:rPr>
      </w:pPr>
    </w:p>
    <w:p w14:paraId="02B77214">
      <w:pPr>
        <w:keepNext w:val="0"/>
        <w:keepLines w:val="0"/>
        <w:pageBreakBefore w:val="0"/>
        <w:widowControl w:val="0"/>
        <w:kinsoku/>
        <w:overflowPunct/>
        <w:topLinePunct w:val="0"/>
        <w:autoSpaceDE/>
        <w:autoSpaceDN/>
        <w:bidi w:val="0"/>
        <w:adjustRightInd/>
        <w:snapToGrid/>
        <w:spacing w:line="600" w:lineRule="exact"/>
        <w:ind w:left="0" w:leftChars="0" w:right="0" w:firstLine="0" w:firstLineChars="0"/>
        <w:jc w:val="both"/>
        <w:textAlignment w:val="auto"/>
        <w:rPr>
          <w:rFonts w:hint="default" w:ascii="Times New Roman" w:hAnsi="Times New Roman" w:eastAsia="仿宋_GB2312" w:cs="Times New Roman"/>
          <w:color w:val="auto"/>
          <w:sz w:val="32"/>
          <w:szCs w:val="32"/>
        </w:rPr>
      </w:pPr>
    </w:p>
    <w:p w14:paraId="30B84C72">
      <w:pPr>
        <w:keepNext w:val="0"/>
        <w:keepLines w:val="0"/>
        <w:pageBreakBefore w:val="0"/>
        <w:widowControl w:val="0"/>
        <w:kinsoku/>
        <w:overflowPunct/>
        <w:topLinePunct w:val="0"/>
        <w:autoSpaceDE/>
        <w:autoSpaceDN/>
        <w:bidi w:val="0"/>
        <w:adjustRightInd/>
        <w:snapToGrid/>
        <w:spacing w:line="600" w:lineRule="exact"/>
        <w:ind w:right="0" w:firstLine="2560" w:firstLineChars="800"/>
        <w:jc w:val="both"/>
        <w:textAlignment w:val="auto"/>
        <w:rPr>
          <w:rFonts w:hint="default" w:ascii="Times New Roman" w:hAnsi="Times New Roman" w:eastAsia="仿宋_GB2312" w:cs="Times New Roman"/>
          <w:color w:val="auto"/>
          <w:sz w:val="32"/>
          <w:szCs w:val="32"/>
        </w:rPr>
      </w:pPr>
    </w:p>
    <w:p w14:paraId="38C0DC86">
      <w:pPr>
        <w:keepNext w:val="0"/>
        <w:keepLines w:val="0"/>
        <w:pageBreakBefore w:val="0"/>
        <w:widowControl w:val="0"/>
        <w:kinsoku/>
        <w:overflowPunct/>
        <w:topLinePunct w:val="0"/>
        <w:autoSpaceDE/>
        <w:autoSpaceDN/>
        <w:bidi w:val="0"/>
        <w:adjustRightInd/>
        <w:snapToGrid/>
        <w:spacing w:line="600" w:lineRule="exact"/>
        <w:ind w:left="0" w:leftChars="0" w:right="0" w:firstLine="0" w:firstLineChars="0"/>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薛政办</w:t>
      </w:r>
      <w:r>
        <w:rPr>
          <w:rFonts w:hint="default" w:ascii="Times New Roman" w:hAnsi="Times New Roman" w:eastAsia="仿宋_GB2312" w:cs="Times New Roman"/>
          <w:color w:val="auto"/>
          <w:sz w:val="32"/>
          <w:szCs w:val="32"/>
          <w:lang w:eastAsia="zh-CN"/>
        </w:rPr>
        <w:t>发</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24</w:t>
      </w:r>
      <w:r>
        <w:rPr>
          <w:rFonts w:hint="default" w:ascii="Times New Roman" w:hAnsi="Times New Roman" w:eastAsia="仿宋_GB2312" w:cs="Times New Roman"/>
          <w:color w:val="auto"/>
          <w:sz w:val="32"/>
          <w:szCs w:val="32"/>
        </w:rPr>
        <w:t>〕</w:t>
      </w:r>
      <w:r>
        <w:rPr>
          <w:rFonts w:hint="eastAsia" w:cs="Times New Roman"/>
          <w:color w:val="auto"/>
          <w:sz w:val="32"/>
          <w:szCs w:val="32"/>
          <w:lang w:val="en-US" w:eastAsia="zh-CN"/>
        </w:rPr>
        <w:t>9</w:t>
      </w:r>
      <w:r>
        <w:rPr>
          <w:rFonts w:hint="default" w:ascii="Times New Roman" w:hAnsi="Times New Roman" w:eastAsia="仿宋_GB2312" w:cs="Times New Roman"/>
          <w:color w:val="auto"/>
          <w:sz w:val="32"/>
          <w:szCs w:val="32"/>
        </w:rPr>
        <w:t>号</w:t>
      </w:r>
    </w:p>
    <w:p w14:paraId="718B7B44">
      <w:pPr>
        <w:keepNext w:val="0"/>
        <w:keepLines w:val="0"/>
        <w:pageBreakBefore w:val="0"/>
        <w:widowControl w:val="0"/>
        <w:kinsoku/>
        <w:overflowPunct/>
        <w:topLinePunct w:val="0"/>
        <w:autoSpaceDE/>
        <w:autoSpaceDN/>
        <w:bidi w:val="0"/>
        <w:adjustRightInd/>
        <w:snapToGrid/>
        <w:spacing w:line="600" w:lineRule="exact"/>
        <w:ind w:right="0"/>
        <w:jc w:val="center"/>
        <w:textAlignment w:val="auto"/>
        <w:rPr>
          <w:rFonts w:hint="default" w:ascii="Times New Roman" w:hAnsi="Times New Roman" w:eastAsia="仿宋_GB2312" w:cs="Times New Roman"/>
          <w:color w:val="auto"/>
          <w:sz w:val="32"/>
          <w:szCs w:val="32"/>
        </w:rPr>
      </w:pPr>
    </w:p>
    <w:p w14:paraId="51A2F71D">
      <w:pPr>
        <w:keepNext w:val="0"/>
        <w:keepLines w:val="0"/>
        <w:pageBreakBefore w:val="0"/>
        <w:widowControl w:val="0"/>
        <w:kinsoku/>
        <w:wordWrap/>
        <w:overflowPunct/>
        <w:topLinePunct w:val="0"/>
        <w:autoSpaceDE/>
        <w:autoSpaceDN/>
        <w:bidi w:val="0"/>
        <w:adjustRightInd/>
        <w:spacing w:before="0" w:beforeLines="0" w:after="0" w:afterLines="0" w:line="600" w:lineRule="exact"/>
        <w:ind w:left="0" w:leftChars="0" w:firstLine="0" w:firstLineChars="0"/>
        <w:jc w:val="center"/>
        <w:textAlignment w:val="auto"/>
        <w:outlineLvl w:val="9"/>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pacing w:val="-6"/>
          <w:sz w:val="44"/>
          <w:szCs w:val="44"/>
          <w:lang w:eastAsia="zh-CN"/>
        </w:rPr>
        <w:t>关于印发</w:t>
      </w:r>
      <w:r>
        <w:rPr>
          <w:rFonts w:hint="eastAsia" w:ascii="Times New Roman" w:hAnsi="Times New Roman" w:eastAsia="方正小标宋简体" w:cs="Times New Roman"/>
          <w:color w:val="auto"/>
          <w:spacing w:val="-6"/>
          <w:sz w:val="44"/>
          <w:szCs w:val="44"/>
          <w:lang w:eastAsia="zh-CN"/>
        </w:rPr>
        <w:t>《</w:t>
      </w:r>
      <w:r>
        <w:rPr>
          <w:rFonts w:hint="default" w:ascii="Times New Roman" w:hAnsi="Times New Roman" w:eastAsia="方正小标宋简体" w:cs="Times New Roman"/>
          <w:color w:val="auto"/>
          <w:spacing w:val="-6"/>
          <w:sz w:val="44"/>
          <w:szCs w:val="44"/>
          <w:lang w:eastAsia="zh-CN"/>
        </w:rPr>
        <w:t>薛城区</w:t>
      </w:r>
      <w:r>
        <w:rPr>
          <w:rFonts w:hint="eastAsia" w:ascii="方正小标宋简体" w:hAnsi="方正小标宋简体" w:eastAsia="方正小标宋简体" w:cs="方正小标宋简体"/>
          <w:spacing w:val="-6"/>
          <w:sz w:val="44"/>
          <w:szCs w:val="44"/>
        </w:rPr>
        <w:t>行政</w:t>
      </w:r>
      <w:r>
        <w:rPr>
          <w:rFonts w:hint="eastAsia" w:ascii="方正小标宋简体" w:hAnsi="方正小标宋简体" w:eastAsia="方正小标宋简体" w:cs="方正小标宋简体"/>
          <w:spacing w:val="-6"/>
          <w:sz w:val="44"/>
          <w:szCs w:val="44"/>
          <w:lang w:val="en-US" w:eastAsia="zh-CN"/>
        </w:rPr>
        <w:t>应诉工作规则</w:t>
      </w:r>
      <w:r>
        <w:rPr>
          <w:rFonts w:hint="eastAsia" w:ascii="Times New Roman" w:hAnsi="Times New Roman" w:eastAsia="方正小标宋简体" w:cs="Times New Roman"/>
          <w:color w:val="auto"/>
          <w:spacing w:val="-6"/>
          <w:sz w:val="44"/>
          <w:szCs w:val="44"/>
          <w:lang w:eastAsia="zh-CN"/>
        </w:rPr>
        <w:t>》</w:t>
      </w:r>
      <w:r>
        <w:rPr>
          <w:rFonts w:hint="default" w:ascii="Times New Roman" w:hAnsi="Times New Roman" w:eastAsia="方正小标宋简体" w:cs="Times New Roman"/>
          <w:color w:val="auto"/>
          <w:spacing w:val="-6"/>
          <w:sz w:val="44"/>
          <w:szCs w:val="44"/>
          <w:lang w:val="en-US" w:eastAsia="zh-CN"/>
        </w:rPr>
        <w:t>的通知</w:t>
      </w:r>
    </w:p>
    <w:p w14:paraId="19F96B79">
      <w:pPr>
        <w:keepNext w:val="0"/>
        <w:keepLines w:val="0"/>
        <w:pageBreakBefore w:val="0"/>
        <w:widowControl w:val="0"/>
        <w:kinsoku/>
        <w:overflowPunct/>
        <w:topLinePunct w:val="0"/>
        <w:autoSpaceDE/>
        <w:autoSpaceDN/>
        <w:bidi w:val="0"/>
        <w:adjustRightInd/>
        <w:snapToGrid/>
        <w:spacing w:line="600" w:lineRule="exact"/>
        <w:ind w:left="0" w:leftChars="0" w:right="0" w:firstLine="0" w:firstLineChars="0"/>
        <w:jc w:val="left"/>
        <w:textAlignment w:val="auto"/>
        <w:rPr>
          <w:rFonts w:hint="default" w:ascii="Times New Roman" w:hAnsi="Times New Roman" w:eastAsia="仿宋_GB2312" w:cs="Times New Roman"/>
          <w:color w:val="auto"/>
          <w:sz w:val="32"/>
          <w:szCs w:val="32"/>
        </w:rPr>
      </w:pPr>
    </w:p>
    <w:p w14:paraId="1D858638">
      <w:pPr>
        <w:keepNext w:val="0"/>
        <w:keepLines w:val="0"/>
        <w:pageBreakBefore w:val="0"/>
        <w:widowControl w:val="0"/>
        <w:kinsoku/>
        <w:overflowPunct/>
        <w:topLinePunct w:val="0"/>
        <w:autoSpaceDE/>
        <w:autoSpaceDN/>
        <w:bidi w:val="0"/>
        <w:adjustRightInd/>
        <w:snapToGrid/>
        <w:spacing w:line="600" w:lineRule="exact"/>
        <w:ind w:left="0" w:leftChars="0" w:right="0" w:firstLine="0" w:firstLineChars="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各镇政府</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街道办事处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区政府</w:t>
      </w:r>
      <w:r>
        <w:rPr>
          <w:rFonts w:hint="eastAsia" w:cs="Times New Roman"/>
          <w:color w:val="auto"/>
          <w:sz w:val="32"/>
          <w:szCs w:val="32"/>
          <w:lang w:val="en-US" w:eastAsia="zh-CN"/>
        </w:rPr>
        <w:t>有关</w:t>
      </w:r>
      <w:r>
        <w:rPr>
          <w:rFonts w:hint="default" w:ascii="Times New Roman" w:hAnsi="Times New Roman" w:eastAsia="仿宋_GB2312" w:cs="Times New Roman"/>
          <w:color w:val="auto"/>
          <w:sz w:val="32"/>
          <w:szCs w:val="32"/>
        </w:rPr>
        <w:t>部门：</w:t>
      </w:r>
    </w:p>
    <w:p w14:paraId="14C62E62">
      <w:pPr>
        <w:keepNext w:val="0"/>
        <w:keepLines w:val="0"/>
        <w:pageBreakBefore w:val="0"/>
        <w:widowControl w:val="0"/>
        <w:kinsoku/>
        <w:overflowPunct/>
        <w:topLinePunct w:val="0"/>
        <w:autoSpaceDE/>
        <w:autoSpaceDN/>
        <w:bidi w:val="0"/>
        <w:adjustRightInd/>
        <w:snapToGrid/>
        <w:spacing w:line="600" w:lineRule="exact"/>
        <w:ind w:right="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i w:val="0"/>
          <w:iCs w:val="0"/>
          <w:caps w:val="0"/>
          <w:color w:val="auto"/>
          <w:spacing w:val="0"/>
          <w:sz w:val="31"/>
          <w:szCs w:val="31"/>
          <w:shd w:val="clear" w:fill="FFFFFF"/>
        </w:rPr>
        <w:t>《</w:t>
      </w:r>
      <w:r>
        <w:rPr>
          <w:rFonts w:hint="default" w:ascii="Times New Roman" w:hAnsi="Times New Roman" w:eastAsia="仿宋_GB2312" w:cs="Times New Roman"/>
          <w:i w:val="0"/>
          <w:iCs w:val="0"/>
          <w:caps w:val="0"/>
          <w:color w:val="auto"/>
          <w:spacing w:val="0"/>
          <w:sz w:val="31"/>
          <w:szCs w:val="31"/>
          <w:shd w:val="clear" w:fill="FFFFFF"/>
          <w:lang w:val="en-US" w:eastAsia="zh-CN"/>
        </w:rPr>
        <w:t>薛城区行政应诉工作规则</w:t>
      </w:r>
      <w:r>
        <w:rPr>
          <w:rFonts w:hint="default" w:ascii="Times New Roman" w:hAnsi="Times New Roman" w:eastAsia="仿宋_GB2312" w:cs="Times New Roman"/>
          <w:i w:val="0"/>
          <w:iCs w:val="0"/>
          <w:caps w:val="0"/>
          <w:color w:val="auto"/>
          <w:spacing w:val="0"/>
          <w:sz w:val="31"/>
          <w:szCs w:val="31"/>
          <w:shd w:val="clear" w:fill="FFFFFF"/>
        </w:rPr>
        <w:t>》</w:t>
      </w:r>
      <w:r>
        <w:rPr>
          <w:rFonts w:hint="default" w:ascii="Times New Roman" w:hAnsi="Times New Roman" w:eastAsia="仿宋_GB2312" w:cs="Times New Roman"/>
          <w:color w:val="auto"/>
          <w:sz w:val="32"/>
          <w:szCs w:val="32"/>
          <w:lang w:val="en-US" w:eastAsia="zh-CN"/>
        </w:rPr>
        <w:t>已经区政府同意，现印发给你们，请认真贯彻执行。</w:t>
      </w:r>
    </w:p>
    <w:p w14:paraId="54F79F31">
      <w:pPr>
        <w:keepNext w:val="0"/>
        <w:keepLines w:val="0"/>
        <w:pageBreakBefore w:val="0"/>
        <w:widowControl w:val="0"/>
        <w:kinsoku/>
        <w:overflowPunct/>
        <w:topLinePunct w:val="0"/>
        <w:autoSpaceDE/>
        <w:autoSpaceDN/>
        <w:bidi w:val="0"/>
        <w:adjustRightInd/>
        <w:snapToGrid/>
        <w:spacing w:line="600" w:lineRule="exact"/>
        <w:ind w:left="0" w:leftChars="0" w:right="0" w:firstLine="0" w:firstLineChars="0"/>
        <w:jc w:val="both"/>
        <w:textAlignment w:val="auto"/>
        <w:rPr>
          <w:rFonts w:hint="default" w:ascii="Times New Roman" w:hAnsi="Times New Roman" w:eastAsia="仿宋_GB2312" w:cs="Times New Roman"/>
          <w:color w:val="auto"/>
          <w:sz w:val="32"/>
          <w:szCs w:val="32"/>
          <w:lang w:val="en-US" w:eastAsia="zh-CN"/>
        </w:rPr>
      </w:pPr>
    </w:p>
    <w:p w14:paraId="5EBE9C4C">
      <w:pPr>
        <w:keepNext w:val="0"/>
        <w:keepLines w:val="0"/>
        <w:pageBreakBefore w:val="0"/>
        <w:widowControl w:val="0"/>
        <w:kinsoku/>
        <w:overflowPunct/>
        <w:topLinePunct w:val="0"/>
        <w:autoSpaceDE/>
        <w:autoSpaceDN/>
        <w:bidi w:val="0"/>
        <w:adjustRightInd/>
        <w:snapToGrid/>
        <w:spacing w:line="600" w:lineRule="exact"/>
        <w:ind w:right="0" w:firstLine="640"/>
        <w:jc w:val="both"/>
        <w:textAlignment w:val="auto"/>
        <w:rPr>
          <w:rFonts w:hint="default" w:ascii="Times New Roman" w:hAnsi="Times New Roman" w:eastAsia="仿宋_GB2312" w:cs="Times New Roman"/>
          <w:color w:val="auto"/>
          <w:sz w:val="32"/>
          <w:szCs w:val="32"/>
          <w:lang w:val="en-US" w:eastAsia="zh-CN"/>
        </w:rPr>
      </w:pPr>
    </w:p>
    <w:p w14:paraId="054A54EF">
      <w:pPr>
        <w:keepNext w:val="0"/>
        <w:keepLines w:val="0"/>
        <w:pageBreakBefore w:val="0"/>
        <w:widowControl w:val="0"/>
        <w:kinsoku/>
        <w:overflowPunct/>
        <w:topLinePunct w:val="0"/>
        <w:autoSpaceDE/>
        <w:autoSpaceDN/>
        <w:bidi w:val="0"/>
        <w:adjustRightInd/>
        <w:snapToGrid/>
        <w:spacing w:line="600" w:lineRule="exact"/>
        <w:ind w:right="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薛城区人民政府办公室</w:t>
      </w:r>
    </w:p>
    <w:p w14:paraId="6AC2A14C">
      <w:pPr>
        <w:keepNext w:val="0"/>
        <w:keepLines w:val="0"/>
        <w:pageBreakBefore w:val="0"/>
        <w:widowControl w:val="0"/>
        <w:kinsoku/>
        <w:overflowPunct/>
        <w:topLinePunct w:val="0"/>
        <w:autoSpaceDE/>
        <w:autoSpaceDN/>
        <w:bidi w:val="0"/>
        <w:adjustRightInd/>
        <w:snapToGrid/>
        <w:spacing w:line="600" w:lineRule="exact"/>
        <w:ind w:right="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2024年</w:t>
      </w:r>
      <w:r>
        <w:rPr>
          <w:rFonts w:hint="eastAsia" w:cs="Times New Roman"/>
          <w:color w:val="auto"/>
          <w:sz w:val="32"/>
          <w:szCs w:val="32"/>
          <w:lang w:val="en-US" w:eastAsia="zh-CN"/>
        </w:rPr>
        <w:t>8</w:t>
      </w:r>
      <w:r>
        <w:rPr>
          <w:rFonts w:hint="default" w:ascii="Times New Roman" w:hAnsi="Times New Roman" w:eastAsia="仿宋_GB2312" w:cs="Times New Roman"/>
          <w:color w:val="auto"/>
          <w:sz w:val="32"/>
          <w:szCs w:val="32"/>
          <w:lang w:val="en-US" w:eastAsia="zh-CN"/>
        </w:rPr>
        <w:t>月</w:t>
      </w:r>
      <w:r>
        <w:rPr>
          <w:rFonts w:hint="eastAsia" w:cs="Times New Roman"/>
          <w:color w:val="auto"/>
          <w:sz w:val="32"/>
          <w:szCs w:val="32"/>
          <w:lang w:val="en-US" w:eastAsia="zh-CN"/>
        </w:rPr>
        <w:t>1</w:t>
      </w:r>
      <w:r>
        <w:rPr>
          <w:rFonts w:hint="default" w:ascii="Times New Roman" w:hAnsi="Times New Roman" w:eastAsia="仿宋_GB2312" w:cs="Times New Roman"/>
          <w:color w:val="auto"/>
          <w:sz w:val="32"/>
          <w:szCs w:val="32"/>
          <w:lang w:val="en-US" w:eastAsia="zh-CN"/>
        </w:rPr>
        <w:t>日</w:t>
      </w:r>
    </w:p>
    <w:p w14:paraId="4505FE95">
      <w:pPr>
        <w:pStyle w:val="2"/>
        <w:rPr>
          <w:rFonts w:hint="default"/>
          <w:lang w:val="en-US" w:eastAsia="zh-CN"/>
        </w:rPr>
      </w:pPr>
      <w:r>
        <w:rPr>
          <w:rFonts w:hint="default" w:ascii="Times New Roman" w:hAnsi="Times New Roman" w:eastAsia="仿宋_GB2312" w:cs="Times New Roman"/>
          <w:sz w:val="32"/>
          <w:szCs w:val="32"/>
        </w:rPr>
        <w:t>（此件公开发布）</w:t>
      </w:r>
    </w:p>
    <w:p w14:paraId="0058C6B1">
      <w:pP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br w:type="page"/>
      </w:r>
    </w:p>
    <w:p w14:paraId="5B4C2A49">
      <w:pPr>
        <w:jc w:val="center"/>
        <w:rPr>
          <w:rFonts w:hint="eastAsia" w:ascii="方正小标宋简体" w:hAnsi="方正小标宋简体" w:eastAsia="方正小标宋简体" w:cs="方正小标宋简体"/>
          <w:sz w:val="44"/>
          <w:szCs w:val="44"/>
          <w:lang w:eastAsia="zh-CN"/>
        </w:rPr>
      </w:pPr>
    </w:p>
    <w:p w14:paraId="2FA41B21">
      <w:pPr>
        <w:ind w:left="0" w:leftChars="0" w:firstLine="0" w:firstLineChars="0"/>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薛城区</w:t>
      </w:r>
      <w:r>
        <w:rPr>
          <w:rFonts w:hint="eastAsia" w:ascii="方正小标宋简体" w:hAnsi="方正小标宋简体" w:eastAsia="方正小标宋简体" w:cs="方正小标宋简体"/>
          <w:sz w:val="44"/>
          <w:szCs w:val="44"/>
        </w:rPr>
        <w:t>行政应诉工作规则</w:t>
      </w:r>
    </w:p>
    <w:p w14:paraId="2770A9C6">
      <w:pPr>
        <w:rPr>
          <w:rFonts w:hint="eastAsia"/>
        </w:rPr>
      </w:pPr>
    </w:p>
    <w:p w14:paraId="5E02028A">
      <w:pPr>
        <w:rPr>
          <w:rFonts w:hint="eastAsia"/>
        </w:rPr>
      </w:pPr>
      <w:r>
        <w:rPr>
          <w:rFonts w:hint="eastAsia" w:ascii="黑体" w:hAnsi="黑体" w:eastAsia="黑体" w:cs="黑体"/>
        </w:rPr>
        <w:t>第一条</w:t>
      </w:r>
      <w:r>
        <w:rPr>
          <w:rFonts w:hint="eastAsia"/>
          <w:lang w:val="en-US" w:eastAsia="zh-CN"/>
        </w:rPr>
        <w:t xml:space="preserve">  </w:t>
      </w:r>
      <w:r>
        <w:rPr>
          <w:rFonts w:hint="eastAsia"/>
        </w:rPr>
        <w:t>为规范行政机关行政应诉行为</w:t>
      </w:r>
      <w:r>
        <w:rPr>
          <w:rFonts w:hint="eastAsia"/>
          <w:lang w:eastAsia="zh-CN"/>
        </w:rPr>
        <w:t>，</w:t>
      </w:r>
      <w:r>
        <w:rPr>
          <w:rFonts w:hint="eastAsia"/>
        </w:rPr>
        <w:t>提高行政应诉水平，促进依法行政，切实化解行政争议，根据《中华人民共和国行政诉讼法》《国务院办公厅关于加强和改进行政应诉工作的意见》《山东省行政应诉工作规则》《</w:t>
      </w:r>
      <w:r>
        <w:rPr>
          <w:rFonts w:hint="eastAsia"/>
          <w:lang w:eastAsia="zh-CN"/>
        </w:rPr>
        <w:t>枣庄市</w:t>
      </w:r>
      <w:r>
        <w:rPr>
          <w:rFonts w:hint="eastAsia"/>
        </w:rPr>
        <w:t>行政应诉工作规则》等规定，结合</w:t>
      </w:r>
      <w:r>
        <w:rPr>
          <w:rFonts w:hint="eastAsia"/>
          <w:lang w:val="en-US" w:eastAsia="zh-CN"/>
        </w:rPr>
        <w:t>本区</w:t>
      </w:r>
      <w:r>
        <w:rPr>
          <w:rFonts w:hint="eastAsia"/>
        </w:rPr>
        <w:t>实际，制定本规则。</w:t>
      </w:r>
    </w:p>
    <w:p w14:paraId="2534A4F2">
      <w:pPr>
        <w:rPr>
          <w:rFonts w:hint="eastAsia"/>
        </w:rPr>
      </w:pPr>
      <w:r>
        <w:rPr>
          <w:rFonts w:hint="eastAsia" w:ascii="黑体" w:hAnsi="黑体" w:eastAsia="黑体" w:cs="黑体"/>
        </w:rPr>
        <w:t>第二条</w:t>
      </w:r>
      <w:r>
        <w:rPr>
          <w:rFonts w:hint="eastAsia" w:ascii="黑体" w:hAnsi="黑体" w:eastAsia="黑体" w:cs="黑体"/>
          <w:lang w:val="en-US" w:eastAsia="zh-CN"/>
        </w:rPr>
        <w:t xml:space="preserve">  </w:t>
      </w:r>
      <w:r>
        <w:rPr>
          <w:rFonts w:hint="eastAsia"/>
        </w:rPr>
        <w:t>本</w:t>
      </w:r>
      <w:r>
        <w:rPr>
          <w:rFonts w:hint="eastAsia"/>
          <w:lang w:eastAsia="zh-CN"/>
        </w:rPr>
        <w:t>区</w:t>
      </w:r>
      <w:r>
        <w:rPr>
          <w:rFonts w:hint="eastAsia"/>
        </w:rPr>
        <w:t>行政机关的行政应诉工作，适用本规则。</w:t>
      </w:r>
    </w:p>
    <w:p w14:paraId="4CF8B586">
      <w:pPr>
        <w:rPr>
          <w:rFonts w:hint="eastAsia"/>
        </w:rPr>
      </w:pPr>
      <w:r>
        <w:rPr>
          <w:rFonts w:hint="eastAsia" w:ascii="黑体" w:hAnsi="黑体" w:eastAsia="黑体" w:cs="黑体"/>
          <w:lang w:val="en-US" w:eastAsia="zh-CN"/>
        </w:rPr>
        <w:t xml:space="preserve">第三条  </w:t>
      </w:r>
      <w:r>
        <w:rPr>
          <w:rFonts w:hint="eastAsia"/>
          <w:lang w:eastAsia="zh-CN"/>
        </w:rPr>
        <w:t>区司法局</w:t>
      </w:r>
      <w:r>
        <w:rPr>
          <w:rFonts w:hint="eastAsia"/>
        </w:rPr>
        <w:t>负责指导、协调和监督本行政区域内的行政应诉工作。</w:t>
      </w:r>
    </w:p>
    <w:p w14:paraId="4E0276C7">
      <w:pPr>
        <w:rPr>
          <w:rFonts w:hint="eastAsia"/>
        </w:rPr>
      </w:pPr>
      <w:r>
        <w:rPr>
          <w:rFonts w:hint="eastAsia" w:ascii="黑体" w:hAnsi="黑体" w:eastAsia="黑体" w:cs="黑体"/>
          <w:lang w:val="en-US" w:eastAsia="zh-CN"/>
        </w:rPr>
        <w:t xml:space="preserve">第四条  </w:t>
      </w:r>
      <w:r>
        <w:rPr>
          <w:rFonts w:hint="eastAsia"/>
        </w:rPr>
        <w:t>行政应诉工作应当坚持党的全面领导</w:t>
      </w:r>
      <w:r>
        <w:rPr>
          <w:rFonts w:hint="eastAsia"/>
          <w:lang w:eastAsia="zh-CN"/>
        </w:rPr>
        <w:t>，</w:t>
      </w:r>
      <w:r>
        <w:rPr>
          <w:rFonts w:hint="eastAsia"/>
        </w:rPr>
        <w:t>坚持以人民为中心，坚持以宪法和法律为准则，坚持规范行政行为，推动法治政府建设。</w:t>
      </w:r>
    </w:p>
    <w:p w14:paraId="5BA6839B">
      <w:pPr>
        <w:pStyle w:val="10"/>
        <w:widowControl w:val="0"/>
        <w:spacing w:before="0" w:beforeAutospacing="0" w:after="0" w:afterAutospacing="0" w:line="600" w:lineRule="exact"/>
        <w:ind w:firstLine="640" w:firstLineChars="200"/>
        <w:jc w:val="both"/>
        <w:rPr>
          <w:rFonts w:hint="eastAsia" w:ascii="方正楷体_GB2312" w:hAnsi="方正楷体_GB2312" w:eastAsia="方正楷体_GB2312" w:cs="方正楷体_GB2312"/>
          <w:b/>
          <w:bCs/>
          <w:color w:val="auto"/>
          <w:kern w:val="2"/>
          <w:sz w:val="32"/>
          <w:szCs w:val="24"/>
          <w:lang w:val="en-US" w:eastAsia="zh-CN" w:bidi="ar-SA"/>
        </w:rPr>
      </w:pPr>
      <w:r>
        <w:rPr>
          <w:rFonts w:hint="eastAsia" w:ascii="黑体" w:hAnsi="黑体" w:eastAsia="黑体" w:cs="黑体"/>
          <w:kern w:val="2"/>
          <w:sz w:val="32"/>
          <w:szCs w:val="24"/>
          <w:lang w:val="en-US" w:eastAsia="zh-CN" w:bidi="ar-SA"/>
        </w:rPr>
        <w:t xml:space="preserve">第五条  </w:t>
      </w:r>
      <w:r>
        <w:rPr>
          <w:rFonts w:hint="eastAsia" w:ascii="Times New Roman" w:hAnsi="Times New Roman" w:eastAsia="仿宋_GB2312" w:cs="Times New Roman"/>
          <w:sz w:val="32"/>
          <w:szCs w:val="32"/>
        </w:rPr>
        <w:t>未经复议直接以</w:t>
      </w:r>
      <w:r>
        <w:rPr>
          <w:rFonts w:hint="eastAsia" w:ascii="Times New Roman" w:hAnsi="Times New Roman" w:eastAsia="仿宋_GB2312" w:cs="Times New Roman"/>
          <w:sz w:val="32"/>
          <w:szCs w:val="32"/>
          <w:lang w:val="en-US" w:eastAsia="zh-CN"/>
        </w:rPr>
        <w:t>区政府</w:t>
      </w:r>
      <w:r>
        <w:rPr>
          <w:rFonts w:hint="eastAsia" w:ascii="Times New Roman" w:hAnsi="Times New Roman" w:eastAsia="仿宋_GB2312" w:cs="Times New Roman"/>
          <w:sz w:val="32"/>
          <w:szCs w:val="32"/>
        </w:rPr>
        <w:t>为被告的行政应诉案件</w:t>
      </w:r>
      <w:r>
        <w:rPr>
          <w:rFonts w:hint="eastAsia" w:ascii="Times New Roman" w:hAnsi="Times New Roman" w:cs="Times New Roman"/>
          <w:sz w:val="32"/>
          <w:szCs w:val="32"/>
          <w:lang w:eastAsia="zh-CN"/>
        </w:rPr>
        <w:t>，</w:t>
      </w:r>
      <w:r>
        <w:rPr>
          <w:rFonts w:hint="eastAsia" w:ascii="Times New Roman" w:hAnsi="Times New Roman" w:eastAsia="仿宋_GB2312" w:cs="Times New Roman"/>
          <w:sz w:val="32"/>
          <w:szCs w:val="32"/>
        </w:rPr>
        <w:t>实施该行政行为的镇街或部门为行政应诉承办单位</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起诉政府不作为的行政应诉案件，由具体负责该项行政行为的镇街或部门承办</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因政府工作需要成立临时机构作出的行政行为，导致</w:t>
      </w:r>
      <w:r>
        <w:rPr>
          <w:rFonts w:hint="eastAsia" w:ascii="Times New Roman" w:hAnsi="Times New Roman" w:eastAsia="仿宋_GB2312" w:cs="Times New Roman"/>
          <w:sz w:val="32"/>
          <w:szCs w:val="32"/>
          <w:lang w:eastAsia="zh-CN"/>
        </w:rPr>
        <w:t>区</w:t>
      </w:r>
      <w:r>
        <w:rPr>
          <w:rFonts w:hint="eastAsia" w:ascii="Times New Roman" w:hAnsi="Times New Roman" w:eastAsia="仿宋_GB2312" w:cs="Times New Roman"/>
          <w:sz w:val="32"/>
          <w:szCs w:val="32"/>
        </w:rPr>
        <w:t>政府成为行政诉讼被告或者共同被告的，行政应诉案件由该临时机构的牵头镇街或部门承办</w:t>
      </w:r>
      <w:r>
        <w:rPr>
          <w:rFonts w:hint="eastAsia" w:ascii="Times New Roman" w:hAnsi="Times New Roman" w:cs="Times New Roman"/>
          <w:sz w:val="32"/>
          <w:szCs w:val="32"/>
          <w:lang w:eastAsia="zh-CN"/>
        </w:rPr>
        <w:t>；</w:t>
      </w:r>
      <w:r>
        <w:rPr>
          <w:rFonts w:hint="eastAsia" w:ascii="Times New Roman" w:hAnsi="Times New Roman" w:eastAsia="仿宋_GB2312" w:cstheme="minorBidi"/>
          <w:kern w:val="2"/>
          <w:sz w:val="32"/>
          <w:szCs w:val="24"/>
          <w:lang w:val="en-US" w:eastAsia="zh-CN" w:bidi="ar-SA"/>
        </w:rPr>
        <w:t>被诉行政行为由两个或两个以上行政机关作出的，牵头部门为行政应诉承办单位，其他部门配合</w:t>
      </w:r>
      <w:r>
        <w:rPr>
          <w:rFonts w:hint="eastAsia" w:ascii="方正楷体_GB2312" w:hAnsi="方正楷体_GB2312" w:eastAsia="方正楷体_GB2312" w:cs="方正楷体_GB2312"/>
          <w:b/>
          <w:bCs/>
          <w:color w:val="auto"/>
          <w:kern w:val="2"/>
          <w:sz w:val="32"/>
          <w:szCs w:val="24"/>
          <w:lang w:val="en-US" w:eastAsia="zh-CN" w:bidi="ar-SA"/>
        </w:rPr>
        <w:t>。</w:t>
      </w:r>
    </w:p>
    <w:p w14:paraId="72457AAC">
      <w:pPr>
        <w:rPr>
          <w:rFonts w:hint="eastAsia"/>
        </w:rPr>
      </w:pPr>
      <w:r>
        <w:rPr>
          <w:rFonts w:hint="eastAsia"/>
        </w:rPr>
        <w:t>经过复议的行政应诉案件，行政复议机关单独作为被告的，</w:t>
      </w:r>
      <w:r>
        <w:rPr>
          <w:rFonts w:hint="eastAsia"/>
          <w:lang w:eastAsia="zh-CN"/>
        </w:rPr>
        <w:t>区司法局</w:t>
      </w:r>
      <w:r>
        <w:rPr>
          <w:rFonts w:hint="eastAsia"/>
        </w:rPr>
        <w:t>为行政应诉承办单位，作出原行政行为的行政机关应当积极配合，根据案情需要参与应诉工作。</w:t>
      </w:r>
    </w:p>
    <w:p w14:paraId="484D8697">
      <w:pPr>
        <w:rPr>
          <w:rFonts w:hint="eastAsia"/>
        </w:rPr>
      </w:pPr>
      <w:r>
        <w:rPr>
          <w:rFonts w:hint="eastAsia"/>
        </w:rPr>
        <w:t>以镇政府、街道办事处为被告的行政应诉案件，由镇政府、街道办事处负责办理应诉事务。</w:t>
      </w:r>
    </w:p>
    <w:p w14:paraId="1B1DA804">
      <w:pPr>
        <w:rPr>
          <w:rFonts w:hint="eastAsia"/>
          <w:lang w:val="en-US" w:eastAsia="zh-CN"/>
        </w:rPr>
      </w:pPr>
      <w:r>
        <w:rPr>
          <w:rFonts w:hint="eastAsia"/>
          <w:lang w:val="en-US" w:eastAsia="zh-CN"/>
        </w:rPr>
        <w:t>区政府工作部门</w:t>
      </w:r>
      <w:r>
        <w:rPr>
          <w:rFonts w:hint="eastAsia"/>
        </w:rPr>
        <w:t>为被告</w:t>
      </w:r>
      <w:r>
        <w:rPr>
          <w:rFonts w:hint="eastAsia"/>
          <w:lang w:val="en-US" w:eastAsia="zh-CN"/>
        </w:rPr>
        <w:t>的行政应诉案件，该部门为行政应诉承办单位。</w:t>
      </w:r>
    </w:p>
    <w:p w14:paraId="5DFBF628">
      <w:pPr>
        <w:numPr>
          <w:ilvl w:val="0"/>
          <w:numId w:val="0"/>
        </w:numPr>
        <w:ind w:firstLine="640" w:firstLineChars="200"/>
        <w:rPr>
          <w:rFonts w:hint="eastAsia"/>
        </w:rPr>
      </w:pPr>
      <w:r>
        <w:rPr>
          <w:rFonts w:hint="eastAsia" w:ascii="黑体" w:hAnsi="黑体" w:eastAsia="黑体" w:cs="黑体"/>
          <w:lang w:val="en-US" w:eastAsia="zh-CN"/>
        </w:rPr>
        <w:t xml:space="preserve">第六条  </w:t>
      </w:r>
      <w:r>
        <w:rPr>
          <w:rFonts w:hint="eastAsia"/>
        </w:rPr>
        <w:t>行政机关收到人民法院的行政应诉法律文书后，应当在3日内登记，并按照本规则第五条的规定及时确定行政应诉承办单位，明确行政应诉承办人员，不得无故不登记或延迟登记，不得以被告不适格为由拒绝承担应诉职责。</w:t>
      </w:r>
    </w:p>
    <w:p w14:paraId="441D3735">
      <w:pPr>
        <w:numPr>
          <w:ilvl w:val="0"/>
          <w:numId w:val="0"/>
        </w:numPr>
        <w:ind w:firstLine="640" w:firstLineChars="200"/>
        <w:rPr>
          <w:rFonts w:hint="eastAsia"/>
          <w:lang w:val="en-US" w:eastAsia="zh-CN"/>
        </w:rPr>
      </w:pPr>
      <w:r>
        <w:rPr>
          <w:rFonts w:hint="eastAsia"/>
          <w:lang w:val="en-US" w:eastAsia="zh-CN"/>
        </w:rPr>
        <w:t>区司法局收到区政府为被告的行政应诉法律文书登记备案后，根据案涉部门（被诉行政行为）具体情况初步确定承办单位，报区政府分管该部门（领域）副区长签批办理。</w:t>
      </w:r>
    </w:p>
    <w:p w14:paraId="5541970B">
      <w:pPr>
        <w:numPr>
          <w:ilvl w:val="0"/>
          <w:numId w:val="0"/>
        </w:numPr>
        <w:rPr>
          <w:rFonts w:hint="eastAsia"/>
        </w:rPr>
      </w:pPr>
      <w:r>
        <w:rPr>
          <w:rFonts w:hint="eastAsia"/>
          <w:lang w:val="en-US" w:eastAsia="zh-CN"/>
        </w:rPr>
        <w:t xml:space="preserve">    </w:t>
      </w:r>
      <w:r>
        <w:rPr>
          <w:rFonts w:hint="eastAsia" w:ascii="黑体" w:hAnsi="黑体" w:eastAsia="黑体" w:cs="黑体"/>
        </w:rPr>
        <w:t>第七条</w:t>
      </w:r>
      <w:r>
        <w:rPr>
          <w:rFonts w:hint="eastAsia" w:ascii="黑体" w:hAnsi="黑体" w:eastAsia="黑体" w:cs="黑体"/>
          <w:lang w:val="en-US" w:eastAsia="zh-CN"/>
        </w:rPr>
        <w:t xml:space="preserve">  </w:t>
      </w:r>
      <w:r>
        <w:rPr>
          <w:rFonts w:hint="eastAsia"/>
        </w:rPr>
        <w:t>行政应诉承办单位应当组织行政应诉承办人员全面研判案情，及时起草答辩状，收集作出行政行为的证据、依据及其他材料。对重大复杂的行政应诉案件，行政应诉承办单位应当听取专家学者、政府法律顾问的意见，经集体研究后确定答辩意见。</w:t>
      </w:r>
    </w:p>
    <w:p w14:paraId="0B96183D">
      <w:pPr>
        <w:rPr>
          <w:rFonts w:hint="eastAsia"/>
        </w:rPr>
      </w:pPr>
      <w:r>
        <w:rPr>
          <w:rFonts w:hint="eastAsia"/>
        </w:rPr>
        <w:t>行政应诉承办人员应当准确把握争议焦点，针对被诉行政行为的认定事实是否清楚、程序是否合法、法律适用是否准确等起草答辩意见。收集证据应当全面、准确。</w:t>
      </w:r>
    </w:p>
    <w:p w14:paraId="09B727B1">
      <w:pPr>
        <w:rPr>
          <w:rFonts w:hint="eastAsia"/>
        </w:rPr>
      </w:pPr>
      <w:r>
        <w:rPr>
          <w:rFonts w:hint="eastAsia" w:ascii="黑体" w:hAnsi="黑体" w:eastAsia="黑体" w:cs="黑体"/>
        </w:rPr>
        <w:t>第八条</w:t>
      </w:r>
      <w:r>
        <w:rPr>
          <w:rFonts w:hint="eastAsia" w:ascii="黑体" w:hAnsi="黑体" w:eastAsia="黑体" w:cs="黑体"/>
          <w:lang w:val="en-US" w:eastAsia="zh-CN"/>
        </w:rPr>
        <w:t xml:space="preserve">  </w:t>
      </w:r>
      <w:r>
        <w:rPr>
          <w:rFonts w:hint="eastAsia"/>
        </w:rPr>
        <w:t>行政应诉承办人员应当将答辩状、证据、依据及其他材料及时提交单位负责人审批</w:t>
      </w:r>
      <w:r>
        <w:rPr>
          <w:rFonts w:hint="eastAsia"/>
          <w:lang w:eastAsia="zh-CN"/>
        </w:rPr>
        <w:t>，</w:t>
      </w:r>
      <w:r>
        <w:rPr>
          <w:rFonts w:hint="eastAsia"/>
        </w:rPr>
        <w:t>经批准同意后在法定期限内提交人民法院。</w:t>
      </w:r>
    </w:p>
    <w:p w14:paraId="04E5A7E6">
      <w:pPr>
        <w:rPr>
          <w:rFonts w:hint="eastAsia"/>
        </w:rPr>
      </w:pPr>
      <w:r>
        <w:rPr>
          <w:rFonts w:hint="eastAsia"/>
          <w:lang w:val="en-US" w:eastAsia="zh-CN"/>
        </w:rPr>
        <w:t>区政府工作部门</w:t>
      </w:r>
      <w:r>
        <w:rPr>
          <w:rFonts w:hint="eastAsia"/>
        </w:rPr>
        <w:t>承办以</w:t>
      </w:r>
      <w:r>
        <w:rPr>
          <w:rFonts w:hint="eastAsia"/>
          <w:lang w:eastAsia="zh-CN"/>
        </w:rPr>
        <w:t>区</w:t>
      </w:r>
      <w:r>
        <w:rPr>
          <w:rFonts w:hint="eastAsia"/>
        </w:rPr>
        <w:t>政府为被告的行政应诉案件的，应当将答辩状、证据、依据及其他材料报</w:t>
      </w:r>
      <w:r>
        <w:rPr>
          <w:rFonts w:hint="eastAsia"/>
          <w:lang w:eastAsia="zh-CN"/>
        </w:rPr>
        <w:t>区司法局</w:t>
      </w:r>
      <w:r>
        <w:rPr>
          <w:rFonts w:hint="eastAsia"/>
        </w:rPr>
        <w:t>备案后，以</w:t>
      </w:r>
      <w:r>
        <w:rPr>
          <w:rFonts w:hint="eastAsia"/>
          <w:lang w:eastAsia="zh-CN"/>
        </w:rPr>
        <w:t>区</w:t>
      </w:r>
      <w:r>
        <w:rPr>
          <w:rFonts w:hint="eastAsia"/>
        </w:rPr>
        <w:t>政府的名义在法定期限内提交人民法院。因不可抗力或者客观上不能控制的其他正当事由，行政机关不能在法定期限内向人民法院提供证据的，应当依法向人民法院申请延期提供证据。</w:t>
      </w:r>
    </w:p>
    <w:p w14:paraId="3FD5AFE1">
      <w:pPr>
        <w:rPr>
          <w:rFonts w:hint="eastAsia"/>
        </w:rPr>
      </w:pPr>
      <w:r>
        <w:rPr>
          <w:rFonts w:hint="eastAsia" w:ascii="黑体" w:hAnsi="黑体" w:eastAsia="黑体" w:cs="黑体"/>
        </w:rPr>
        <w:t>第九条</w:t>
      </w:r>
      <w:r>
        <w:rPr>
          <w:rFonts w:hint="eastAsia" w:ascii="黑体" w:hAnsi="黑体" w:eastAsia="黑体" w:cs="黑体"/>
          <w:lang w:val="en-US" w:eastAsia="zh-CN"/>
        </w:rPr>
        <w:t xml:space="preserve">  </w:t>
      </w:r>
      <w:r>
        <w:rPr>
          <w:rFonts w:hint="eastAsia"/>
        </w:rPr>
        <w:t>行政机关可以委托一至两名本机关相应的工作人员、律师作为行政诉讼案件的诉讼代理人。行政机关办理应诉案件，不得仅委托律师出庭应诉。</w:t>
      </w:r>
    </w:p>
    <w:p w14:paraId="7CE72F13">
      <w:pPr>
        <w:rPr>
          <w:rFonts w:hint="eastAsia"/>
        </w:rPr>
      </w:pPr>
      <w:r>
        <w:rPr>
          <w:rFonts w:hint="eastAsia"/>
        </w:rPr>
        <w:t>行政机关委托诉讼代理人参加诉讼的，应当在庭审前向人民法院提交授权委托书、法定代表人身份证明书、行政机关负责人出庭人员名单等。授权委托书应当载明诉讼代理人的基本情况、代理事项、代理权限等内容。</w:t>
      </w:r>
    </w:p>
    <w:p w14:paraId="07A199A2">
      <w:pPr>
        <w:rPr>
          <w:rFonts w:hint="eastAsia"/>
        </w:rPr>
      </w:pPr>
      <w:r>
        <w:rPr>
          <w:rFonts w:hint="eastAsia"/>
        </w:rPr>
        <w:t>行政机关应当发挥公职律师作用，鼓励公职律师参与本机关行政诉讼案件。</w:t>
      </w:r>
    </w:p>
    <w:p w14:paraId="554388AD">
      <w:pPr>
        <w:numPr>
          <w:ilvl w:val="0"/>
          <w:numId w:val="0"/>
        </w:numPr>
        <w:ind w:firstLine="640" w:firstLineChars="200"/>
        <w:rPr>
          <w:rFonts w:hint="eastAsia"/>
        </w:rPr>
      </w:pPr>
      <w:r>
        <w:rPr>
          <w:rFonts w:hint="eastAsia" w:ascii="黑体" w:hAnsi="黑体" w:eastAsia="黑体" w:cs="黑体"/>
          <w:lang w:val="en-US" w:eastAsia="zh-CN"/>
        </w:rPr>
        <w:t xml:space="preserve">第十条  </w:t>
      </w:r>
      <w:r>
        <w:rPr>
          <w:rFonts w:hint="eastAsia"/>
        </w:rPr>
        <w:t>人民法院组织行政争议审前调解和解活动的,行政机关诉讼代理人应当积极配合</w:t>
      </w:r>
      <w:r>
        <w:rPr>
          <w:rFonts w:hint="eastAsia"/>
          <w:lang w:eastAsia="zh-CN"/>
        </w:rPr>
        <w:t>，</w:t>
      </w:r>
      <w:r>
        <w:rPr>
          <w:rFonts w:hint="eastAsia"/>
        </w:rPr>
        <w:t>超出授权范围的事项应当及时向行政应诉承办单位报告。</w:t>
      </w:r>
    </w:p>
    <w:p w14:paraId="376C1E80">
      <w:pPr>
        <w:rPr>
          <w:rFonts w:hint="eastAsia"/>
        </w:rPr>
      </w:pPr>
      <w:r>
        <w:rPr>
          <w:rFonts w:hint="eastAsia"/>
        </w:rPr>
        <w:t>诉前调解和解应当坚持自愿原则，行政应诉承办单位不得以欺骗、胁迫等方式使原告撤诉，不得损害国家利益、社会公共利益和他人利益。</w:t>
      </w:r>
    </w:p>
    <w:p w14:paraId="2BBD1E08">
      <w:pPr>
        <w:rPr>
          <w:rFonts w:hint="eastAsia"/>
        </w:rPr>
      </w:pPr>
      <w:r>
        <w:rPr>
          <w:rFonts w:hint="eastAsia" w:ascii="黑体" w:hAnsi="黑体" w:eastAsia="黑体" w:cs="黑体"/>
        </w:rPr>
        <w:t>第十</w:t>
      </w:r>
      <w:r>
        <w:rPr>
          <w:rFonts w:hint="eastAsia" w:ascii="黑体" w:hAnsi="黑体" w:eastAsia="黑体" w:cs="黑体"/>
          <w:lang w:val="en-US" w:eastAsia="zh-CN"/>
        </w:rPr>
        <w:t>一</w:t>
      </w:r>
      <w:r>
        <w:rPr>
          <w:rFonts w:hint="eastAsia" w:ascii="黑体" w:hAnsi="黑体" w:eastAsia="黑体" w:cs="黑体"/>
        </w:rPr>
        <w:t>条</w:t>
      </w:r>
      <w:r>
        <w:rPr>
          <w:rFonts w:hint="eastAsia" w:ascii="黑体" w:hAnsi="黑体" w:eastAsia="黑体" w:cs="黑体"/>
          <w:lang w:val="en-US" w:eastAsia="zh-CN"/>
        </w:rPr>
        <w:t xml:space="preserve">  </w:t>
      </w:r>
      <w:r>
        <w:rPr>
          <w:rFonts w:hint="eastAsia"/>
        </w:rPr>
        <w:t>行政机关诉讼代理人应当根据庭审要求，围绕争议焦点，充分陈述事实和理由，出示相关证据、依据。针对行政行为的合法性和适当性，证据的关联性、真实性、合法性和证明目的，适用依据的准确性等发表庭审意见。</w:t>
      </w:r>
    </w:p>
    <w:p w14:paraId="2B031DA0">
      <w:pPr>
        <w:rPr>
          <w:rFonts w:hint="eastAsia"/>
        </w:rPr>
      </w:pPr>
      <w:r>
        <w:rPr>
          <w:rFonts w:hint="eastAsia"/>
        </w:rPr>
        <w:t>庭审结束后，行政机关诉讼代理人应当认真核对开庭笔录，确认无误后签字。</w:t>
      </w:r>
    </w:p>
    <w:p w14:paraId="385498C6">
      <w:pPr>
        <w:rPr>
          <w:rFonts w:hint="eastAsia"/>
        </w:rPr>
      </w:pPr>
      <w:r>
        <w:rPr>
          <w:rFonts w:hint="eastAsia" w:ascii="黑体" w:hAnsi="黑体" w:eastAsia="黑体" w:cs="黑体"/>
        </w:rPr>
        <w:t>第十</w:t>
      </w:r>
      <w:r>
        <w:rPr>
          <w:rFonts w:hint="eastAsia" w:ascii="黑体" w:hAnsi="黑体" w:eastAsia="黑体" w:cs="黑体"/>
          <w:lang w:val="en-US" w:eastAsia="zh-CN"/>
        </w:rPr>
        <w:t>二</w:t>
      </w:r>
      <w:r>
        <w:rPr>
          <w:rFonts w:hint="eastAsia" w:ascii="黑体" w:hAnsi="黑体" w:eastAsia="黑体" w:cs="黑体"/>
        </w:rPr>
        <w:t>条</w:t>
      </w:r>
      <w:r>
        <w:rPr>
          <w:rFonts w:hint="eastAsia" w:ascii="黑体" w:hAnsi="黑体" w:eastAsia="黑体" w:cs="黑体"/>
          <w:lang w:val="en-US" w:eastAsia="zh-CN"/>
        </w:rPr>
        <w:t xml:space="preserve">  </w:t>
      </w:r>
      <w:r>
        <w:rPr>
          <w:rFonts w:hint="eastAsia"/>
        </w:rPr>
        <w:t>人民法院认为需要组织现场调查的，行政应诉承办单位应当积极配合。</w:t>
      </w:r>
    </w:p>
    <w:p w14:paraId="6197212D">
      <w:pPr>
        <w:rPr>
          <w:rFonts w:hint="eastAsia" w:eastAsia="仿宋_GB2312"/>
          <w:lang w:eastAsia="zh-CN"/>
        </w:rPr>
      </w:pPr>
      <w:r>
        <w:rPr>
          <w:rFonts w:hint="eastAsia" w:ascii="黑体" w:hAnsi="黑体" w:eastAsia="黑体" w:cs="黑体"/>
        </w:rPr>
        <w:t>第十</w:t>
      </w:r>
      <w:r>
        <w:rPr>
          <w:rFonts w:hint="eastAsia" w:ascii="黑体" w:hAnsi="黑体" w:eastAsia="黑体" w:cs="黑体"/>
          <w:lang w:val="en-US" w:eastAsia="zh-CN"/>
        </w:rPr>
        <w:t>三</w:t>
      </w:r>
      <w:r>
        <w:rPr>
          <w:rFonts w:hint="eastAsia" w:ascii="黑体" w:hAnsi="黑体" w:eastAsia="黑体" w:cs="黑体"/>
        </w:rPr>
        <w:t>条</w:t>
      </w:r>
      <w:r>
        <w:rPr>
          <w:rFonts w:hint="eastAsia" w:ascii="黑体" w:hAnsi="黑体" w:eastAsia="黑体" w:cs="黑体"/>
          <w:lang w:val="en-US" w:eastAsia="zh-CN"/>
        </w:rPr>
        <w:t xml:space="preserve"> </w:t>
      </w:r>
      <w:r>
        <w:rPr>
          <w:rFonts w:hint="eastAsia"/>
          <w:lang w:val="en-US" w:eastAsia="zh-CN"/>
        </w:rPr>
        <w:t xml:space="preserve"> </w:t>
      </w:r>
      <w:r>
        <w:rPr>
          <w:rFonts w:hint="eastAsia"/>
        </w:rPr>
        <w:t>行政机关收到人民法院裁判文书后</w:t>
      </w:r>
      <w:r>
        <w:rPr>
          <w:rFonts w:hint="eastAsia"/>
          <w:lang w:eastAsia="zh-CN"/>
        </w:rPr>
        <w:t>，</w:t>
      </w:r>
      <w:r>
        <w:rPr>
          <w:rFonts w:hint="eastAsia"/>
        </w:rPr>
        <w:t>应当视情况分别作出以下处理</w:t>
      </w:r>
      <w:r>
        <w:rPr>
          <w:rFonts w:hint="eastAsia"/>
          <w:lang w:eastAsia="zh-CN"/>
        </w:rPr>
        <w:t>：</w:t>
      </w:r>
    </w:p>
    <w:p w14:paraId="45DD84B1">
      <w:pPr>
        <w:rPr>
          <w:rFonts w:hint="eastAsia"/>
        </w:rPr>
      </w:pPr>
      <w:r>
        <w:rPr>
          <w:rFonts w:hint="eastAsia"/>
          <w:lang w:eastAsia="zh-CN"/>
        </w:rPr>
        <w:t>（</w:t>
      </w:r>
      <w:r>
        <w:rPr>
          <w:rFonts w:hint="eastAsia"/>
        </w:rPr>
        <w:t>一</w:t>
      </w:r>
      <w:r>
        <w:rPr>
          <w:rFonts w:hint="eastAsia"/>
          <w:lang w:eastAsia="zh-CN"/>
        </w:rPr>
        <w:t>）</w:t>
      </w:r>
      <w:r>
        <w:rPr>
          <w:rFonts w:hint="eastAsia"/>
        </w:rPr>
        <w:t>认为应当上诉或申请再审的，在5日内提出上诉或申请再审建议，经批准后按法定程序办理;</w:t>
      </w:r>
    </w:p>
    <w:p w14:paraId="67D88936">
      <w:pPr>
        <w:rPr>
          <w:rFonts w:hint="eastAsia" w:eastAsia="仿宋_GB2312"/>
          <w:lang w:eastAsia="zh-CN"/>
        </w:rPr>
      </w:pPr>
      <w:r>
        <w:rPr>
          <w:rFonts w:hint="eastAsia"/>
          <w:lang w:eastAsia="zh-CN"/>
        </w:rPr>
        <w:t>（</w:t>
      </w:r>
      <w:r>
        <w:rPr>
          <w:rFonts w:hint="eastAsia"/>
        </w:rPr>
        <w:t>二</w:t>
      </w:r>
      <w:r>
        <w:rPr>
          <w:rFonts w:hint="eastAsia"/>
          <w:lang w:eastAsia="zh-CN"/>
        </w:rPr>
        <w:t>）</w:t>
      </w:r>
      <w:r>
        <w:rPr>
          <w:rFonts w:hint="eastAsia"/>
        </w:rPr>
        <w:t>裁判文书有履行内容或者需要作进一步处理的，及时提出工作意见报本单位负责人</w:t>
      </w:r>
      <w:r>
        <w:rPr>
          <w:rFonts w:hint="eastAsia"/>
          <w:lang w:eastAsia="zh-CN"/>
        </w:rPr>
        <w:t>；</w:t>
      </w:r>
    </w:p>
    <w:p w14:paraId="438482DA">
      <w:pPr>
        <w:numPr>
          <w:ilvl w:val="0"/>
          <w:numId w:val="0"/>
        </w:numPr>
        <w:ind w:firstLine="640" w:firstLineChars="200"/>
        <w:rPr>
          <w:rFonts w:hint="eastAsia" w:ascii="方正楷体_GB2312" w:hAnsi="方正楷体_GB2312" w:eastAsia="方正楷体_GB2312" w:cs="方正楷体_GB2312"/>
          <w:b/>
          <w:bCs/>
          <w:color w:val="auto"/>
          <w:lang w:eastAsia="zh-CN"/>
        </w:rPr>
      </w:pPr>
      <w:r>
        <w:rPr>
          <w:rFonts w:hint="eastAsia"/>
          <w:lang w:eastAsia="zh-CN"/>
        </w:rPr>
        <w:t>（</w:t>
      </w:r>
      <w:r>
        <w:rPr>
          <w:rFonts w:hint="eastAsia"/>
          <w:lang w:val="en-US" w:eastAsia="zh-CN"/>
        </w:rPr>
        <w:t>三</w:t>
      </w:r>
      <w:r>
        <w:rPr>
          <w:rFonts w:hint="eastAsia"/>
          <w:lang w:eastAsia="zh-CN"/>
        </w:rPr>
        <w:t>）</w:t>
      </w:r>
      <w:r>
        <w:rPr>
          <w:rFonts w:hint="eastAsia"/>
          <w:lang w:val="en-US" w:eastAsia="zh-CN"/>
        </w:rPr>
        <w:t>区司法局收到区政府为被告的具有履行内容的裁判文书后，提出初步意见，报区政府分管案涉部门（领域）副区长签批办理</w:t>
      </w:r>
      <w:r>
        <w:rPr>
          <w:rFonts w:hint="eastAsia" w:ascii="方正楷体_GB2312" w:hAnsi="方正楷体_GB2312" w:eastAsia="方正楷体_GB2312" w:cs="方正楷体_GB2312"/>
          <w:b/>
          <w:bCs/>
          <w:color w:val="auto"/>
          <w:lang w:val="en-US" w:eastAsia="zh-CN"/>
        </w:rPr>
        <w:t>。</w:t>
      </w:r>
    </w:p>
    <w:p w14:paraId="41060DF0">
      <w:pPr>
        <w:numPr>
          <w:ilvl w:val="0"/>
          <w:numId w:val="0"/>
        </w:numPr>
        <w:ind w:firstLine="640" w:firstLineChars="200"/>
        <w:rPr>
          <w:rFonts w:hint="eastAsia"/>
        </w:rPr>
      </w:pPr>
      <w:r>
        <w:rPr>
          <w:rFonts w:hint="eastAsia" w:ascii="黑体" w:hAnsi="黑体" w:eastAsia="黑体" w:cs="黑体"/>
          <w:kern w:val="2"/>
          <w:sz w:val="32"/>
          <w:szCs w:val="24"/>
          <w:lang w:val="en-US" w:eastAsia="zh-CN" w:bidi="ar-SA"/>
        </w:rPr>
        <w:t>第十四条</w:t>
      </w:r>
      <w:r>
        <w:rPr>
          <w:rFonts w:hint="eastAsia" w:ascii="黑体" w:hAnsi="黑体" w:eastAsia="黑体" w:cs="黑体"/>
          <w:lang w:val="en-US" w:eastAsia="zh-CN"/>
        </w:rPr>
        <w:t xml:space="preserve">  </w:t>
      </w:r>
      <w:r>
        <w:rPr>
          <w:rFonts w:hint="eastAsia"/>
        </w:rPr>
        <w:t>行政机关应当主动履行人民法院发生法律效力的判决、裁定和调解书。对拒绝履行或拖延履行的，</w:t>
      </w:r>
      <w:r>
        <w:rPr>
          <w:rFonts w:hint="eastAsia"/>
          <w:lang w:eastAsia="zh-CN"/>
        </w:rPr>
        <w:t>区司法局</w:t>
      </w:r>
      <w:r>
        <w:rPr>
          <w:rFonts w:hint="eastAsia"/>
        </w:rPr>
        <w:t>在接到人民法院有关司法建议后</w:t>
      </w:r>
      <w:r>
        <w:rPr>
          <w:rFonts w:hint="eastAsia"/>
          <w:lang w:eastAsia="zh-CN"/>
        </w:rPr>
        <w:t>，</w:t>
      </w:r>
      <w:r>
        <w:rPr>
          <w:rFonts w:hint="eastAsia"/>
        </w:rPr>
        <w:t>应当向被诉行政机关提出履行意见书</w:t>
      </w:r>
      <w:r>
        <w:rPr>
          <w:rFonts w:hint="eastAsia"/>
          <w:lang w:eastAsia="zh-CN"/>
        </w:rPr>
        <w:t>，</w:t>
      </w:r>
      <w:r>
        <w:rPr>
          <w:rFonts w:hint="eastAsia"/>
        </w:rPr>
        <w:t>监督其及时履行。履行完毕后，5个工作日内将履行情况反馈至区司法局。</w:t>
      </w:r>
    </w:p>
    <w:p w14:paraId="011F04E8">
      <w:pPr>
        <w:numPr>
          <w:ilvl w:val="0"/>
          <w:numId w:val="0"/>
        </w:numPr>
        <w:ind w:left="0" w:leftChars="0" w:firstLine="640" w:firstLineChars="200"/>
        <w:rPr>
          <w:rFonts w:hint="eastAsia"/>
        </w:rPr>
      </w:pPr>
      <w:r>
        <w:rPr>
          <w:rFonts w:hint="eastAsia" w:ascii="黑体" w:hAnsi="黑体" w:eastAsia="黑体" w:cs="黑体"/>
          <w:kern w:val="2"/>
          <w:sz w:val="32"/>
          <w:szCs w:val="24"/>
          <w:lang w:val="en-US" w:eastAsia="zh-CN" w:bidi="ar-SA"/>
        </w:rPr>
        <w:t>第十五条</w:t>
      </w:r>
      <w:r>
        <w:rPr>
          <w:rFonts w:hint="eastAsia" w:ascii="黑体" w:hAnsi="黑体" w:eastAsia="黑体" w:cs="黑体"/>
          <w:lang w:val="en-US" w:eastAsia="zh-CN"/>
        </w:rPr>
        <w:t xml:space="preserve">  </w:t>
      </w:r>
      <w:r>
        <w:rPr>
          <w:rFonts w:hint="eastAsia"/>
        </w:rPr>
        <w:t>行政机关收到司法建议书、检察建议书的，应当按照有关规定办理</w:t>
      </w:r>
      <w:r>
        <w:rPr>
          <w:rFonts w:hint="eastAsia"/>
          <w:lang w:eastAsia="zh-CN"/>
        </w:rPr>
        <w:t>，</w:t>
      </w:r>
      <w:r>
        <w:rPr>
          <w:rFonts w:hint="eastAsia"/>
        </w:rPr>
        <w:t>在法定期限内将办理情况书面回复人民法院、人民检察院。</w:t>
      </w:r>
    </w:p>
    <w:p w14:paraId="3301369B">
      <w:pPr>
        <w:rPr>
          <w:rFonts w:hint="eastAsia"/>
        </w:rPr>
      </w:pPr>
      <w:r>
        <w:rPr>
          <w:rFonts w:hint="eastAsia" w:ascii="黑体" w:hAnsi="黑体" w:eastAsia="黑体" w:cs="黑体"/>
        </w:rPr>
        <w:t>第十</w:t>
      </w:r>
      <w:r>
        <w:rPr>
          <w:rFonts w:hint="eastAsia" w:ascii="黑体" w:hAnsi="黑体" w:eastAsia="黑体" w:cs="黑体"/>
          <w:lang w:val="en-US" w:eastAsia="zh-CN"/>
        </w:rPr>
        <w:t>六</w:t>
      </w:r>
      <w:r>
        <w:rPr>
          <w:rFonts w:hint="eastAsia" w:ascii="黑体" w:hAnsi="黑体" w:eastAsia="黑体" w:cs="黑体"/>
        </w:rPr>
        <w:t>条</w:t>
      </w:r>
      <w:r>
        <w:rPr>
          <w:rFonts w:hint="eastAsia" w:ascii="黑体" w:hAnsi="黑体" w:eastAsia="黑体" w:cs="黑体"/>
          <w:lang w:val="en-US" w:eastAsia="zh-CN"/>
        </w:rPr>
        <w:t xml:space="preserve">  </w:t>
      </w:r>
      <w:r>
        <w:rPr>
          <w:rFonts w:hint="eastAsia"/>
        </w:rPr>
        <w:t>行政诉讼案件终结后，行政机关应当按照有关规定，将案件材料立卷归档。</w:t>
      </w:r>
    </w:p>
    <w:p w14:paraId="41B762EE">
      <w:pPr>
        <w:rPr>
          <w:rFonts w:hint="eastAsia"/>
        </w:rPr>
      </w:pPr>
      <w:r>
        <w:rPr>
          <w:rFonts w:hint="eastAsia"/>
          <w:lang w:eastAsia="zh-CN"/>
        </w:rPr>
        <w:t>区司法局</w:t>
      </w:r>
      <w:r>
        <w:rPr>
          <w:rFonts w:hint="eastAsia"/>
        </w:rPr>
        <w:t>定期组织行政应诉案卷评查工作。</w:t>
      </w:r>
    </w:p>
    <w:p w14:paraId="3B84E24F">
      <w:pPr>
        <w:rPr>
          <w:rFonts w:hint="eastAsia"/>
        </w:rPr>
      </w:pPr>
      <w:r>
        <w:rPr>
          <w:rFonts w:hint="eastAsia" w:ascii="黑体" w:hAnsi="黑体" w:eastAsia="黑体" w:cs="黑体"/>
        </w:rPr>
        <w:t>第十</w:t>
      </w:r>
      <w:r>
        <w:rPr>
          <w:rFonts w:hint="eastAsia" w:ascii="黑体" w:hAnsi="黑体" w:eastAsia="黑体" w:cs="黑体"/>
          <w:lang w:val="en-US" w:eastAsia="zh-CN"/>
        </w:rPr>
        <w:t>七</w:t>
      </w:r>
      <w:r>
        <w:rPr>
          <w:rFonts w:hint="eastAsia" w:ascii="黑体" w:hAnsi="黑体" w:eastAsia="黑体" w:cs="黑体"/>
        </w:rPr>
        <w:t>条</w:t>
      </w:r>
      <w:r>
        <w:rPr>
          <w:rFonts w:hint="eastAsia" w:ascii="黑体" w:hAnsi="黑体" w:eastAsia="黑体" w:cs="黑体"/>
          <w:lang w:val="en-US" w:eastAsia="zh-CN"/>
        </w:rPr>
        <w:t xml:space="preserve"> </w:t>
      </w:r>
      <w:r>
        <w:rPr>
          <w:rFonts w:hint="eastAsia"/>
          <w:lang w:val="en-US" w:eastAsia="zh-CN"/>
        </w:rPr>
        <w:t xml:space="preserve"> </w:t>
      </w:r>
      <w:r>
        <w:rPr>
          <w:rFonts w:hint="eastAsia"/>
        </w:rPr>
        <w:t>被诉行政机关负责人应当出庭应诉。下列行政诉讼案件，被诉行政机关负责人必须出庭应诉:</w:t>
      </w:r>
    </w:p>
    <w:p w14:paraId="4D26CB52">
      <w:pPr>
        <w:numPr>
          <w:ilvl w:val="0"/>
          <w:numId w:val="0"/>
        </w:numPr>
        <w:ind w:firstLine="640" w:firstLineChars="200"/>
        <w:rPr>
          <w:rFonts w:hint="eastAsia" w:eastAsia="仿宋_GB2312"/>
          <w:lang w:eastAsia="zh-CN"/>
        </w:rPr>
      </w:pPr>
      <w:r>
        <w:rPr>
          <w:rFonts w:hint="eastAsia"/>
          <w:lang w:eastAsia="zh-CN"/>
        </w:rPr>
        <w:t>（一）</w:t>
      </w:r>
      <w:r>
        <w:rPr>
          <w:rFonts w:hint="eastAsia"/>
        </w:rPr>
        <w:t>涉及重大公共利益的</w:t>
      </w:r>
      <w:r>
        <w:rPr>
          <w:rFonts w:hint="eastAsia"/>
          <w:lang w:eastAsia="zh-CN"/>
        </w:rPr>
        <w:t>；</w:t>
      </w:r>
    </w:p>
    <w:p w14:paraId="2F95A252">
      <w:pPr>
        <w:numPr>
          <w:ilvl w:val="0"/>
          <w:numId w:val="0"/>
        </w:numPr>
        <w:ind w:firstLine="640" w:firstLineChars="200"/>
        <w:rPr>
          <w:rFonts w:hint="eastAsia" w:eastAsia="仿宋_GB2312"/>
          <w:lang w:eastAsia="zh-CN"/>
        </w:rPr>
      </w:pPr>
      <w:r>
        <w:rPr>
          <w:rFonts w:hint="eastAsia"/>
          <w:lang w:eastAsia="zh-CN"/>
        </w:rPr>
        <w:t>（</w:t>
      </w:r>
      <w:r>
        <w:rPr>
          <w:rFonts w:hint="eastAsia"/>
          <w:lang w:val="en-US" w:eastAsia="zh-CN"/>
        </w:rPr>
        <w:t>二</w:t>
      </w:r>
      <w:r>
        <w:rPr>
          <w:rFonts w:hint="eastAsia"/>
          <w:lang w:eastAsia="zh-CN"/>
        </w:rPr>
        <w:t>）</w:t>
      </w:r>
      <w:r>
        <w:rPr>
          <w:rFonts w:hint="eastAsia"/>
        </w:rPr>
        <w:t>社会关注度高的</w:t>
      </w:r>
      <w:r>
        <w:rPr>
          <w:rFonts w:hint="eastAsia"/>
          <w:lang w:eastAsia="zh-CN"/>
        </w:rPr>
        <w:t>；</w:t>
      </w:r>
    </w:p>
    <w:p w14:paraId="0662C2A7">
      <w:pPr>
        <w:rPr>
          <w:rFonts w:hint="eastAsia" w:eastAsia="仿宋_GB2312"/>
          <w:lang w:eastAsia="zh-CN"/>
        </w:rPr>
      </w:pPr>
      <w:r>
        <w:rPr>
          <w:rFonts w:hint="eastAsia"/>
          <w:lang w:eastAsia="zh-CN"/>
        </w:rPr>
        <w:t>（</w:t>
      </w:r>
      <w:r>
        <w:rPr>
          <w:rFonts w:hint="eastAsia"/>
          <w:lang w:val="en-US" w:eastAsia="zh-CN"/>
        </w:rPr>
        <w:t>三</w:t>
      </w:r>
      <w:r>
        <w:rPr>
          <w:rFonts w:hint="eastAsia"/>
          <w:lang w:eastAsia="zh-CN"/>
        </w:rPr>
        <w:t>）</w:t>
      </w:r>
      <w:r>
        <w:rPr>
          <w:rFonts w:hint="eastAsia"/>
        </w:rPr>
        <w:t>可能引发群体性事件的</w:t>
      </w:r>
      <w:r>
        <w:rPr>
          <w:rFonts w:hint="eastAsia"/>
          <w:lang w:eastAsia="zh-CN"/>
        </w:rPr>
        <w:t>；</w:t>
      </w:r>
    </w:p>
    <w:p w14:paraId="16366E6E">
      <w:pPr>
        <w:rPr>
          <w:rFonts w:hint="eastAsia" w:eastAsia="仿宋_GB2312"/>
          <w:lang w:eastAsia="zh-CN"/>
        </w:rPr>
      </w:pPr>
      <w:r>
        <w:rPr>
          <w:rFonts w:hint="eastAsia"/>
          <w:lang w:eastAsia="zh-CN"/>
        </w:rPr>
        <w:t>（</w:t>
      </w:r>
      <w:r>
        <w:rPr>
          <w:rFonts w:hint="eastAsia"/>
          <w:lang w:val="en-US" w:eastAsia="zh-CN"/>
        </w:rPr>
        <w:t>四</w:t>
      </w:r>
      <w:r>
        <w:rPr>
          <w:rFonts w:hint="eastAsia"/>
          <w:lang w:eastAsia="zh-CN"/>
        </w:rPr>
        <w:t>）</w:t>
      </w:r>
      <w:r>
        <w:rPr>
          <w:rFonts w:hint="eastAsia"/>
        </w:rPr>
        <w:t>检察机关提起行政公益诉讼或抗诉的</w:t>
      </w:r>
      <w:r>
        <w:rPr>
          <w:rFonts w:hint="eastAsia"/>
          <w:lang w:eastAsia="zh-CN"/>
        </w:rPr>
        <w:t>；</w:t>
      </w:r>
    </w:p>
    <w:p w14:paraId="74B5BEB1">
      <w:pPr>
        <w:rPr>
          <w:rFonts w:hint="eastAsia" w:eastAsia="仿宋_GB2312"/>
          <w:lang w:eastAsia="zh-CN"/>
        </w:rPr>
      </w:pPr>
      <w:r>
        <w:rPr>
          <w:rFonts w:hint="eastAsia"/>
          <w:lang w:eastAsia="zh-CN"/>
        </w:rPr>
        <w:t>（</w:t>
      </w:r>
      <w:r>
        <w:rPr>
          <w:rFonts w:hint="eastAsia"/>
          <w:lang w:val="en-US" w:eastAsia="zh-CN"/>
        </w:rPr>
        <w:t>五</w:t>
      </w:r>
      <w:r>
        <w:rPr>
          <w:rFonts w:hint="eastAsia"/>
          <w:lang w:eastAsia="zh-CN"/>
        </w:rPr>
        <w:t>）</w:t>
      </w:r>
      <w:r>
        <w:rPr>
          <w:rFonts w:hint="eastAsia"/>
        </w:rPr>
        <w:t>涉及企业的</w:t>
      </w:r>
      <w:r>
        <w:rPr>
          <w:rFonts w:hint="eastAsia"/>
          <w:lang w:eastAsia="zh-CN"/>
        </w:rPr>
        <w:t>；</w:t>
      </w:r>
    </w:p>
    <w:p w14:paraId="666B622A">
      <w:pPr>
        <w:rPr>
          <w:rFonts w:hint="eastAsia" w:eastAsia="仿宋_GB2312"/>
          <w:lang w:eastAsia="zh-CN"/>
        </w:rPr>
      </w:pPr>
      <w:r>
        <w:rPr>
          <w:rFonts w:hint="eastAsia"/>
          <w:lang w:eastAsia="zh-CN"/>
        </w:rPr>
        <w:t>（</w:t>
      </w:r>
      <w:r>
        <w:rPr>
          <w:rFonts w:hint="eastAsia"/>
          <w:lang w:val="en-US" w:eastAsia="zh-CN"/>
        </w:rPr>
        <w:t>六</w:t>
      </w:r>
      <w:r>
        <w:rPr>
          <w:rFonts w:hint="eastAsia"/>
          <w:lang w:eastAsia="zh-CN"/>
        </w:rPr>
        <w:t>）</w:t>
      </w:r>
      <w:r>
        <w:rPr>
          <w:rFonts w:hint="eastAsia"/>
        </w:rPr>
        <w:t>人民法院书面建议行政机关负责人出庭应诉的</w:t>
      </w:r>
      <w:r>
        <w:rPr>
          <w:rFonts w:hint="eastAsia"/>
          <w:lang w:eastAsia="zh-CN"/>
        </w:rPr>
        <w:t>；</w:t>
      </w:r>
    </w:p>
    <w:p w14:paraId="4E70B5AB">
      <w:pPr>
        <w:rPr>
          <w:rFonts w:hint="eastAsia" w:eastAsia="仿宋_GB2312"/>
          <w:lang w:eastAsia="zh-CN"/>
        </w:rPr>
      </w:pPr>
      <w:r>
        <w:rPr>
          <w:rFonts w:hint="eastAsia"/>
          <w:lang w:eastAsia="zh-CN"/>
        </w:rPr>
        <w:t>（</w:t>
      </w:r>
      <w:r>
        <w:rPr>
          <w:rFonts w:hint="eastAsia"/>
          <w:lang w:val="en-US" w:eastAsia="zh-CN"/>
        </w:rPr>
        <w:t>七</w:t>
      </w:r>
      <w:r>
        <w:rPr>
          <w:rFonts w:hint="eastAsia"/>
          <w:lang w:eastAsia="zh-CN"/>
        </w:rPr>
        <w:t>）区司法局</w:t>
      </w:r>
      <w:r>
        <w:rPr>
          <w:rFonts w:hint="eastAsia"/>
        </w:rPr>
        <w:t>认为行政机关负责人必须出庭应诉的</w:t>
      </w:r>
      <w:r>
        <w:rPr>
          <w:rFonts w:hint="eastAsia"/>
          <w:lang w:eastAsia="zh-CN"/>
        </w:rPr>
        <w:t>；</w:t>
      </w:r>
    </w:p>
    <w:p w14:paraId="747AB61B">
      <w:pPr>
        <w:rPr>
          <w:rFonts w:hint="eastAsia"/>
        </w:rPr>
      </w:pPr>
      <w:r>
        <w:rPr>
          <w:rFonts w:hint="eastAsia"/>
          <w:lang w:eastAsia="zh-CN"/>
        </w:rPr>
        <w:t>（</w:t>
      </w:r>
      <w:r>
        <w:rPr>
          <w:rFonts w:hint="eastAsia"/>
          <w:lang w:val="en-US" w:eastAsia="zh-CN"/>
        </w:rPr>
        <w:t>八</w:t>
      </w:r>
      <w:r>
        <w:rPr>
          <w:rFonts w:hint="eastAsia"/>
          <w:lang w:eastAsia="zh-CN"/>
        </w:rPr>
        <w:t>）</w:t>
      </w:r>
      <w:r>
        <w:rPr>
          <w:rFonts w:hint="eastAsia"/>
        </w:rPr>
        <w:t>法律、法规等规定行政机关负责人应当出庭应诉的其他情形。</w:t>
      </w:r>
    </w:p>
    <w:p w14:paraId="73B21118">
      <w:pPr>
        <w:rPr>
          <w:rFonts w:hint="eastAsia"/>
        </w:rPr>
      </w:pPr>
      <w:r>
        <w:rPr>
          <w:rFonts w:hint="eastAsia"/>
        </w:rPr>
        <w:t>有本条第一项、第二项、第三项、第四项情形之一的，被诉行政机关主要负责人应当出庭应诉。</w:t>
      </w:r>
    </w:p>
    <w:p w14:paraId="13C8BC25">
      <w:pPr>
        <w:numPr>
          <w:ilvl w:val="0"/>
          <w:numId w:val="0"/>
        </w:numPr>
        <w:ind w:firstLine="640" w:firstLineChars="200"/>
        <w:rPr>
          <w:rFonts w:hint="eastAsia"/>
        </w:rPr>
      </w:pPr>
      <w:r>
        <w:rPr>
          <w:rFonts w:hint="eastAsia" w:ascii="黑体" w:hAnsi="黑体" w:eastAsia="黑体" w:cs="黑体"/>
          <w:kern w:val="2"/>
          <w:sz w:val="32"/>
          <w:szCs w:val="24"/>
          <w:lang w:val="en-US" w:eastAsia="zh-CN" w:bidi="ar-SA"/>
        </w:rPr>
        <w:t xml:space="preserve">第十八条  </w:t>
      </w:r>
      <w:r>
        <w:rPr>
          <w:rFonts w:hint="eastAsia"/>
          <w:lang w:val="en-US" w:eastAsia="zh-CN"/>
        </w:rPr>
        <w:t xml:space="preserve"> 被诉行政机关负责人应履行行政应诉职责，积极出庭应诉。本规则中的</w:t>
      </w:r>
      <w:r>
        <w:rPr>
          <w:rFonts w:hint="eastAsia"/>
        </w:rPr>
        <w:t>行政机关负责人，包括行政机关的正职、副职负责人、参与分管被诉行政行为</w:t>
      </w:r>
      <w:r>
        <w:rPr>
          <w:rFonts w:hint="eastAsia"/>
          <w:lang w:val="en-US" w:eastAsia="zh-CN"/>
        </w:rPr>
        <w:t>实施</w:t>
      </w:r>
      <w:r>
        <w:rPr>
          <w:rFonts w:hint="eastAsia"/>
        </w:rPr>
        <w:t>工作的副职级别的负责人以及其他参与分管的负责人。</w:t>
      </w:r>
      <w:r>
        <w:rPr>
          <w:rFonts w:hint="eastAsia"/>
          <w:lang w:val="en-US" w:eastAsia="zh-CN"/>
        </w:rPr>
        <w:t>区政府为被告的行政应诉案件，应由分管案涉部门（领域）的副区长出庭应诉。</w:t>
      </w:r>
    </w:p>
    <w:p w14:paraId="1D9DE0D1">
      <w:pPr>
        <w:numPr>
          <w:ilvl w:val="0"/>
          <w:numId w:val="0"/>
        </w:numPr>
        <w:ind w:left="0" w:leftChars="0" w:firstLine="640" w:firstLineChars="200"/>
        <w:rPr>
          <w:rFonts w:hint="eastAsia"/>
        </w:rPr>
      </w:pPr>
      <w:r>
        <w:rPr>
          <w:rFonts w:hint="eastAsia" w:ascii="黑体" w:hAnsi="黑体" w:eastAsia="黑体" w:cs="黑体"/>
          <w:kern w:val="2"/>
          <w:sz w:val="32"/>
          <w:szCs w:val="24"/>
          <w:lang w:val="en-US" w:eastAsia="zh-CN" w:bidi="ar-SA"/>
        </w:rPr>
        <w:t>第十九条</w:t>
      </w:r>
      <w:r>
        <w:rPr>
          <w:rFonts w:hint="eastAsia" w:ascii="黑体" w:hAnsi="黑体" w:eastAsia="黑体" w:cs="黑体"/>
          <w:lang w:val="en-US" w:eastAsia="zh-CN"/>
        </w:rPr>
        <w:t xml:space="preserve">  </w:t>
      </w:r>
      <w:r>
        <w:rPr>
          <w:rFonts w:hint="eastAsia"/>
        </w:rPr>
        <w:t>行政机关诉讼代理人应当按时出庭</w:t>
      </w:r>
      <w:r>
        <w:rPr>
          <w:rFonts w:hint="eastAsia"/>
          <w:lang w:eastAsia="zh-CN"/>
        </w:rPr>
        <w:t>，</w:t>
      </w:r>
      <w:r>
        <w:rPr>
          <w:rFonts w:hint="eastAsia"/>
        </w:rPr>
        <w:t>尊重司法礼仪，遵守法庭纪律，尊重审判人员和其他诉讼参与人，未经法庭许可不得中途退庭。</w:t>
      </w:r>
    </w:p>
    <w:p w14:paraId="66865828">
      <w:pPr>
        <w:rPr>
          <w:rFonts w:hint="eastAsia"/>
        </w:rPr>
      </w:pPr>
      <w:r>
        <w:rPr>
          <w:rFonts w:hint="eastAsia" w:ascii="黑体" w:hAnsi="黑体" w:eastAsia="黑体" w:cs="黑体"/>
        </w:rPr>
        <w:t>第二十条</w:t>
      </w:r>
      <w:r>
        <w:rPr>
          <w:rFonts w:hint="eastAsia" w:ascii="黑体" w:hAnsi="黑体" w:eastAsia="黑体" w:cs="黑体"/>
          <w:lang w:val="en-US" w:eastAsia="zh-CN"/>
        </w:rPr>
        <w:t xml:space="preserve">  </w:t>
      </w:r>
      <w:r>
        <w:rPr>
          <w:rFonts w:hint="eastAsia"/>
        </w:rPr>
        <w:t>行政机关诉讼代理人应当全程参与行政应诉案件处理，积极履行应诉职责，提升应诉技巧和能力</w:t>
      </w:r>
      <w:r>
        <w:rPr>
          <w:rFonts w:hint="eastAsia"/>
          <w:lang w:eastAsia="zh-CN"/>
        </w:rPr>
        <w:t>，</w:t>
      </w:r>
      <w:r>
        <w:rPr>
          <w:rFonts w:hint="eastAsia"/>
        </w:rPr>
        <w:t>提高答辩举证质量，做到答辩形式规范、说理充分、针对性强，实现政治效果、法律效果、社会效果有机统一。</w:t>
      </w:r>
    </w:p>
    <w:p w14:paraId="14965812">
      <w:pPr>
        <w:rPr>
          <w:rFonts w:hint="eastAsia"/>
        </w:rPr>
      </w:pPr>
      <w:r>
        <w:rPr>
          <w:rFonts w:hint="eastAsia" w:ascii="黑体" w:hAnsi="黑体" w:eastAsia="黑体" w:cs="黑体"/>
        </w:rPr>
        <w:t>第二十一条</w:t>
      </w:r>
      <w:r>
        <w:rPr>
          <w:rFonts w:hint="eastAsia" w:ascii="黑体" w:hAnsi="黑体" w:eastAsia="黑体" w:cs="黑体"/>
          <w:lang w:val="en-US" w:eastAsia="zh-CN"/>
        </w:rPr>
        <w:t xml:space="preserve">  </w:t>
      </w:r>
      <w:r>
        <w:rPr>
          <w:rFonts w:hint="eastAsia"/>
        </w:rPr>
        <w:t>行政应诉承办人员应当遵守相关保密规定。行政应诉承办单位应当</w:t>
      </w:r>
      <w:r>
        <w:rPr>
          <w:rFonts w:ascii="Times New Roman" w:hAnsi="Times New Roman" w:eastAsia="仿宋_GB2312" w:cs="Times New Roman"/>
          <w:sz w:val="32"/>
          <w:szCs w:val="32"/>
        </w:rPr>
        <w:t>承担案件产生的代理费、评估费等相关费用</w:t>
      </w:r>
      <w:r>
        <w:rPr>
          <w:rFonts w:hint="eastAsia" w:cs="Times New Roman"/>
          <w:sz w:val="32"/>
          <w:szCs w:val="32"/>
          <w:lang w:eastAsia="zh-CN"/>
        </w:rPr>
        <w:t>，</w:t>
      </w:r>
      <w:r>
        <w:rPr>
          <w:rFonts w:hint="eastAsia"/>
        </w:rPr>
        <w:t>保障必要的办案用车，防止法律文书和材料遗失泄密，确保办案安全。</w:t>
      </w:r>
    </w:p>
    <w:p w14:paraId="24565F9F">
      <w:pPr>
        <w:rPr>
          <w:rFonts w:hint="eastAsia"/>
        </w:rPr>
      </w:pPr>
      <w:r>
        <w:rPr>
          <w:rFonts w:hint="eastAsia" w:ascii="黑体" w:hAnsi="黑体" w:eastAsia="黑体" w:cs="黑体"/>
        </w:rPr>
        <w:t>第二十二条</w:t>
      </w:r>
      <w:r>
        <w:rPr>
          <w:rFonts w:hint="eastAsia" w:ascii="黑体" w:hAnsi="黑体" w:eastAsia="黑体" w:cs="黑体"/>
          <w:lang w:val="en-US" w:eastAsia="zh-CN"/>
        </w:rPr>
        <w:t xml:space="preserve">  </w:t>
      </w:r>
      <w:r>
        <w:rPr>
          <w:rFonts w:hint="eastAsia"/>
          <w:lang w:eastAsia="zh-CN"/>
        </w:rPr>
        <w:t>区司法局</w:t>
      </w:r>
      <w:r>
        <w:rPr>
          <w:rFonts w:hint="eastAsia"/>
        </w:rPr>
        <w:t>应当加强对行政应诉工作人员的业务培训，采取集中授课、旁听庭审、参观学习等形式，每年至少开展一次集中学习培训。</w:t>
      </w:r>
    </w:p>
    <w:p w14:paraId="621DC2D7">
      <w:pPr>
        <w:rPr>
          <w:rFonts w:hint="eastAsia"/>
        </w:rPr>
      </w:pPr>
      <w:r>
        <w:rPr>
          <w:rFonts w:hint="eastAsia" w:ascii="黑体" w:hAnsi="黑体" w:eastAsia="黑体" w:cs="黑体"/>
        </w:rPr>
        <w:t xml:space="preserve">第二十三条 </w:t>
      </w:r>
      <w:r>
        <w:rPr>
          <w:rFonts w:hint="eastAsia" w:ascii="黑体" w:hAnsi="黑体" w:eastAsia="黑体" w:cs="黑体"/>
          <w:lang w:val="en-US" w:eastAsia="zh-CN"/>
        </w:rPr>
        <w:t xml:space="preserve"> </w:t>
      </w:r>
      <w:r>
        <w:rPr>
          <w:rFonts w:hint="eastAsia"/>
          <w:lang w:eastAsia="zh-CN"/>
        </w:rPr>
        <w:t>区司法局</w:t>
      </w:r>
      <w:r>
        <w:rPr>
          <w:rFonts w:hint="eastAsia"/>
        </w:rPr>
        <w:t>应当借助全省行政应诉管理平台加大案件办理信息化建设以及行政应诉工作的指导、协调、监督力度。</w:t>
      </w:r>
    </w:p>
    <w:p w14:paraId="79C7ADC7">
      <w:pPr>
        <w:rPr>
          <w:rFonts w:hint="eastAsia"/>
        </w:rPr>
      </w:pPr>
      <w:r>
        <w:rPr>
          <w:rFonts w:hint="eastAsia"/>
        </w:rPr>
        <w:t>行政机关在收到人民法院送达的起诉状、立案通知书等材料以及裁判文书后</w:t>
      </w:r>
      <w:r>
        <w:rPr>
          <w:rFonts w:hint="eastAsia"/>
          <w:lang w:eastAsia="zh-CN"/>
        </w:rPr>
        <w:t>，</w:t>
      </w:r>
      <w:r>
        <w:rPr>
          <w:rFonts w:hint="eastAsia"/>
        </w:rPr>
        <w:t>应当及时上传至山东省行政复议行政应诉管理平台。</w:t>
      </w:r>
    </w:p>
    <w:p w14:paraId="5601DFE7">
      <w:pPr>
        <w:rPr>
          <w:rFonts w:hint="eastAsia"/>
        </w:rPr>
      </w:pPr>
      <w:r>
        <w:rPr>
          <w:rFonts w:hint="eastAsia" w:ascii="黑体" w:hAnsi="黑体" w:eastAsia="黑体" w:cs="黑体"/>
        </w:rPr>
        <w:t>第二十四条</w:t>
      </w:r>
      <w:r>
        <w:rPr>
          <w:rFonts w:hint="eastAsia" w:ascii="黑体" w:hAnsi="黑体" w:eastAsia="黑体" w:cs="黑体"/>
          <w:lang w:val="en-US" w:eastAsia="zh-CN"/>
        </w:rPr>
        <w:t xml:space="preserve">  </w:t>
      </w:r>
      <w:r>
        <w:rPr>
          <w:rFonts w:hint="eastAsia"/>
          <w:lang w:val="en-US" w:eastAsia="zh-CN"/>
        </w:rPr>
        <w:t>区政府工作部门</w:t>
      </w:r>
      <w:r>
        <w:rPr>
          <w:rFonts w:hint="eastAsia"/>
        </w:rPr>
        <w:t>应当对本部门行政应诉案件定期进行统计、分析、总结，书面报</w:t>
      </w:r>
      <w:r>
        <w:rPr>
          <w:rFonts w:hint="eastAsia"/>
          <w:lang w:eastAsia="zh-CN"/>
        </w:rPr>
        <w:t>区司法局</w:t>
      </w:r>
      <w:r>
        <w:rPr>
          <w:rFonts w:hint="eastAsia"/>
        </w:rPr>
        <w:t>。</w:t>
      </w:r>
    </w:p>
    <w:p w14:paraId="2EC0FD41">
      <w:pPr>
        <w:rPr>
          <w:rFonts w:hint="eastAsia"/>
          <w:lang w:eastAsia="zh-CN"/>
        </w:rPr>
      </w:pPr>
      <w:r>
        <w:rPr>
          <w:rFonts w:hint="eastAsia"/>
        </w:rPr>
        <w:t>对重大复杂、社会关注度高、可能引发群体性事件等行政案件，行政应诉承办单位应当主动及时向</w:t>
      </w:r>
      <w:r>
        <w:rPr>
          <w:rFonts w:hint="eastAsia"/>
          <w:lang w:eastAsia="zh-CN"/>
        </w:rPr>
        <w:t>区政府</w:t>
      </w:r>
      <w:r>
        <w:rPr>
          <w:rFonts w:hint="eastAsia"/>
        </w:rPr>
        <w:t>报告</w:t>
      </w:r>
      <w:r>
        <w:rPr>
          <w:rFonts w:hint="eastAsia"/>
          <w:lang w:eastAsia="zh-CN"/>
        </w:rPr>
        <w:t>。</w:t>
      </w:r>
    </w:p>
    <w:p w14:paraId="5C195AAB">
      <w:pPr>
        <w:rPr>
          <w:rFonts w:hint="eastAsia"/>
        </w:rPr>
      </w:pPr>
      <w:r>
        <w:rPr>
          <w:rFonts w:hint="eastAsia" w:ascii="黑体" w:hAnsi="黑体" w:eastAsia="黑体" w:cs="黑体"/>
        </w:rPr>
        <w:t>第二十五条</w:t>
      </w:r>
      <w:r>
        <w:rPr>
          <w:rFonts w:hint="eastAsia" w:ascii="黑体" w:hAnsi="黑体" w:eastAsia="黑体" w:cs="黑体"/>
          <w:lang w:val="en-US" w:eastAsia="zh-CN"/>
        </w:rPr>
        <w:t xml:space="preserve">  </w:t>
      </w:r>
      <w:r>
        <w:rPr>
          <w:rFonts w:hint="eastAsia"/>
        </w:rPr>
        <w:t>行政机关应当认真落实国家工作人员旁听庭审有关制度，选取典型行政案件，组织行政机关负责人和行政执法人员参加旁听审理。</w:t>
      </w:r>
    </w:p>
    <w:p w14:paraId="22D167E2">
      <w:pPr>
        <w:rPr>
          <w:rFonts w:hint="eastAsia"/>
        </w:rPr>
      </w:pPr>
      <w:r>
        <w:rPr>
          <w:rFonts w:hint="eastAsia" w:ascii="黑体" w:hAnsi="黑体" w:eastAsia="黑体" w:cs="黑体"/>
        </w:rPr>
        <w:t>第二十六条</w:t>
      </w:r>
      <w:r>
        <w:rPr>
          <w:rFonts w:hint="eastAsia" w:ascii="黑体" w:hAnsi="黑体" w:eastAsia="黑体" w:cs="黑体"/>
          <w:lang w:val="en-US" w:eastAsia="zh-CN"/>
        </w:rPr>
        <w:t xml:space="preserve"> </w:t>
      </w:r>
      <w:r>
        <w:rPr>
          <w:rFonts w:hint="eastAsia"/>
          <w:lang w:val="en-US" w:eastAsia="zh-CN"/>
        </w:rPr>
        <w:t xml:space="preserve"> </w:t>
      </w:r>
      <w:r>
        <w:rPr>
          <w:rFonts w:hint="eastAsia"/>
          <w:lang w:eastAsia="zh-CN"/>
        </w:rPr>
        <w:t>区司法局</w:t>
      </w:r>
      <w:r>
        <w:rPr>
          <w:rFonts w:hint="eastAsia"/>
        </w:rPr>
        <w:t>应当加强与人民法院、人民检察院沟通联络，健全完善行政应诉与行政审判、行政法律监督联席会议制度。</w:t>
      </w:r>
    </w:p>
    <w:p w14:paraId="2D37FEAC">
      <w:pPr>
        <w:rPr>
          <w:rFonts w:hint="eastAsia"/>
        </w:rPr>
      </w:pPr>
      <w:r>
        <w:rPr>
          <w:rFonts w:hint="eastAsia" w:ascii="黑体" w:hAnsi="黑体" w:eastAsia="黑体" w:cs="黑体"/>
        </w:rPr>
        <w:t>第二十七条</w:t>
      </w:r>
      <w:r>
        <w:rPr>
          <w:rFonts w:hint="eastAsia" w:ascii="黑体" w:hAnsi="黑体" w:eastAsia="黑体" w:cs="黑体"/>
          <w:lang w:val="en-US" w:eastAsia="zh-CN"/>
        </w:rPr>
        <w:t xml:space="preserve"> </w:t>
      </w:r>
      <w:r>
        <w:rPr>
          <w:rFonts w:hint="eastAsia"/>
          <w:lang w:val="en-US" w:eastAsia="zh-CN"/>
        </w:rPr>
        <w:t xml:space="preserve"> </w:t>
      </w:r>
      <w:r>
        <w:rPr>
          <w:rFonts w:hint="eastAsia"/>
        </w:rPr>
        <w:t>行政机关及其工作人员违反本规定，有下列情形之一并造成严重后果的，依法依规对责任人员给予处理:</w:t>
      </w:r>
    </w:p>
    <w:p w14:paraId="4A41E7EF">
      <w:pPr>
        <w:rPr>
          <w:rFonts w:hint="eastAsia"/>
        </w:rPr>
      </w:pPr>
      <w:r>
        <w:rPr>
          <w:rFonts w:hint="eastAsia"/>
          <w:lang w:eastAsia="zh-CN"/>
        </w:rPr>
        <w:t>（</w:t>
      </w:r>
      <w:r>
        <w:rPr>
          <w:rFonts w:hint="eastAsia"/>
        </w:rPr>
        <w:t>一</w:t>
      </w:r>
      <w:r>
        <w:rPr>
          <w:rFonts w:hint="eastAsia"/>
          <w:lang w:eastAsia="zh-CN"/>
        </w:rPr>
        <w:t>）</w:t>
      </w:r>
      <w:r>
        <w:rPr>
          <w:rFonts w:hint="eastAsia"/>
        </w:rPr>
        <w:t>无正当理由未按时提交证据材料的;</w:t>
      </w:r>
    </w:p>
    <w:p w14:paraId="26628DA2">
      <w:pPr>
        <w:rPr>
          <w:rFonts w:hint="eastAsia"/>
        </w:rPr>
      </w:pPr>
      <w:r>
        <w:rPr>
          <w:rFonts w:hint="eastAsia"/>
          <w:lang w:val="en-US" w:eastAsia="zh-CN"/>
        </w:rPr>
        <w:t>（二）</w:t>
      </w:r>
      <w:r>
        <w:rPr>
          <w:rFonts w:hint="eastAsia"/>
        </w:rPr>
        <w:t>无正当理由拒不到庭或者未经法庭许可中途退庭的;</w:t>
      </w:r>
    </w:p>
    <w:p w14:paraId="1A524D1D">
      <w:pPr>
        <w:rPr>
          <w:rFonts w:hint="eastAsia"/>
        </w:rPr>
      </w:pPr>
      <w:r>
        <w:rPr>
          <w:rFonts w:hint="eastAsia"/>
          <w:lang w:eastAsia="zh-CN"/>
        </w:rPr>
        <w:t>（</w:t>
      </w:r>
      <w:r>
        <w:rPr>
          <w:rFonts w:hint="eastAsia"/>
        </w:rPr>
        <w:t>三</w:t>
      </w:r>
      <w:r>
        <w:rPr>
          <w:rFonts w:hint="eastAsia"/>
          <w:lang w:eastAsia="zh-CN"/>
        </w:rPr>
        <w:t>）</w:t>
      </w:r>
      <w:r>
        <w:rPr>
          <w:rFonts w:hint="eastAsia"/>
        </w:rPr>
        <w:t>拒绝履行或者拖延履行已经生效的判决、裁定、调</w:t>
      </w:r>
      <w:r>
        <w:rPr>
          <w:rFonts w:hint="eastAsia"/>
          <w:lang w:eastAsia="zh-CN"/>
        </w:rPr>
        <w:t>解</w:t>
      </w:r>
      <w:r>
        <w:rPr>
          <w:rFonts w:hint="eastAsia"/>
        </w:rPr>
        <w:t>书的;</w:t>
      </w:r>
    </w:p>
    <w:p w14:paraId="4721881B">
      <w:pPr>
        <w:rPr>
          <w:rFonts w:hint="eastAsia" w:eastAsia="仿宋_GB2312"/>
          <w:lang w:eastAsia="zh-CN"/>
        </w:rPr>
      </w:pPr>
      <w:r>
        <w:rPr>
          <w:rFonts w:hint="eastAsia"/>
          <w:lang w:eastAsia="zh-CN"/>
        </w:rPr>
        <w:t>（</w:t>
      </w:r>
      <w:r>
        <w:rPr>
          <w:rFonts w:hint="eastAsia"/>
        </w:rPr>
        <w:t>四</w:t>
      </w:r>
      <w:r>
        <w:rPr>
          <w:rFonts w:hint="eastAsia"/>
          <w:lang w:eastAsia="zh-CN"/>
        </w:rPr>
        <w:t>）</w:t>
      </w:r>
      <w:r>
        <w:rPr>
          <w:rFonts w:hint="eastAsia"/>
        </w:rPr>
        <w:t>不按照本规则履行行政应诉职责</w:t>
      </w:r>
      <w:r>
        <w:rPr>
          <w:rFonts w:hint="eastAsia"/>
          <w:lang w:eastAsia="zh-CN"/>
        </w:rPr>
        <w:t>，</w:t>
      </w:r>
      <w:r>
        <w:rPr>
          <w:rFonts w:hint="eastAsia"/>
        </w:rPr>
        <w:t>造成不良影响的</w:t>
      </w:r>
      <w:r>
        <w:rPr>
          <w:rFonts w:hint="eastAsia"/>
          <w:lang w:eastAsia="zh-CN"/>
        </w:rPr>
        <w:t>；</w:t>
      </w:r>
    </w:p>
    <w:p w14:paraId="5045161C">
      <w:pPr>
        <w:rPr>
          <w:rFonts w:hint="eastAsia"/>
        </w:rPr>
      </w:pPr>
      <w:r>
        <w:rPr>
          <w:rFonts w:hint="eastAsia"/>
          <w:lang w:eastAsia="zh-CN"/>
        </w:rPr>
        <w:t>（</w:t>
      </w:r>
      <w:r>
        <w:rPr>
          <w:rFonts w:hint="eastAsia"/>
        </w:rPr>
        <w:t>五</w:t>
      </w:r>
      <w:r>
        <w:rPr>
          <w:rFonts w:hint="eastAsia"/>
          <w:lang w:eastAsia="zh-CN"/>
        </w:rPr>
        <w:t>）</w:t>
      </w:r>
      <w:r>
        <w:rPr>
          <w:rFonts w:hint="eastAsia"/>
        </w:rPr>
        <w:t>违反保密规定的;</w:t>
      </w:r>
    </w:p>
    <w:p w14:paraId="13F734D8">
      <w:pPr>
        <w:rPr>
          <w:rFonts w:hint="eastAsia"/>
        </w:rPr>
      </w:pPr>
      <w:r>
        <w:rPr>
          <w:rFonts w:hint="eastAsia"/>
          <w:lang w:eastAsia="zh-CN"/>
        </w:rPr>
        <w:t>（</w:t>
      </w:r>
      <w:r>
        <w:rPr>
          <w:rFonts w:hint="eastAsia"/>
        </w:rPr>
        <w:t>六</w:t>
      </w:r>
      <w:r>
        <w:rPr>
          <w:rFonts w:hint="eastAsia"/>
          <w:lang w:eastAsia="zh-CN"/>
        </w:rPr>
        <w:t>）</w:t>
      </w:r>
      <w:r>
        <w:rPr>
          <w:rFonts w:hint="eastAsia"/>
        </w:rPr>
        <w:t>其他违反规定情节严重的。</w:t>
      </w:r>
    </w:p>
    <w:p w14:paraId="511E99B6">
      <w:pPr>
        <w:rPr>
          <w:rFonts w:hint="eastAsia"/>
        </w:rPr>
      </w:pPr>
      <w:r>
        <w:rPr>
          <w:rFonts w:hint="eastAsia" w:ascii="黑体" w:hAnsi="黑体" w:eastAsia="黑体" w:cs="黑体"/>
          <w:b w:val="0"/>
          <w:bCs w:val="0"/>
        </w:rPr>
        <w:t>第二十八条</w:t>
      </w:r>
      <w:r>
        <w:rPr>
          <w:rFonts w:hint="eastAsia"/>
          <w:b/>
          <w:bCs/>
          <w:lang w:val="en-US" w:eastAsia="zh-CN"/>
        </w:rPr>
        <w:t xml:space="preserve">  </w:t>
      </w:r>
      <w:r>
        <w:rPr>
          <w:rFonts w:hint="eastAsia"/>
        </w:rPr>
        <w:t>行政应诉承办单位在办理行政应诉案件过程中发现行政机关工作人员涉嫌职务违法、犯罪的，应当将案件线索移送监察机关处理。</w:t>
      </w:r>
    </w:p>
    <w:p w14:paraId="16BE4864">
      <w:pPr>
        <w:rPr>
          <w:rFonts w:hint="eastAsia"/>
        </w:rPr>
      </w:pPr>
      <w:r>
        <w:rPr>
          <w:rFonts w:hint="eastAsia" w:ascii="黑体" w:hAnsi="黑体" w:eastAsia="黑体" w:cs="黑体"/>
          <w:b w:val="0"/>
          <w:bCs w:val="0"/>
        </w:rPr>
        <w:t>第二十九条</w:t>
      </w:r>
      <w:r>
        <w:rPr>
          <w:rFonts w:hint="eastAsia" w:ascii="黑体" w:hAnsi="黑体" w:eastAsia="黑体" w:cs="黑体"/>
          <w:b/>
          <w:bCs/>
          <w:lang w:val="en-US" w:eastAsia="zh-CN"/>
        </w:rPr>
        <w:t xml:space="preserve">  </w:t>
      </w:r>
      <w:r>
        <w:rPr>
          <w:rFonts w:hint="eastAsia"/>
        </w:rPr>
        <w:t>法律、法规、规章授权的组织办理行政应诉案件，适用本规则的规定。</w:t>
      </w:r>
    </w:p>
    <w:p w14:paraId="2B0798A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黑体" w:hAnsi="黑体" w:eastAsia="黑体" w:cs="黑体"/>
          <w:b w:val="0"/>
          <w:bCs w:val="0"/>
        </w:rPr>
        <w:t>第三十条</w:t>
      </w:r>
      <w:r>
        <w:rPr>
          <w:rFonts w:hint="eastAsia"/>
          <w:b/>
          <w:bCs/>
          <w:lang w:val="en-US" w:eastAsia="zh-CN"/>
        </w:rPr>
        <w:t xml:space="preserve"> </w:t>
      </w:r>
      <w:r>
        <w:rPr>
          <w:rFonts w:hint="eastAsia" w:ascii="Times New Roman" w:hAnsi="Times New Roman"/>
          <w:lang w:val="en-US" w:eastAsia="zh-CN"/>
        </w:rPr>
        <w:t xml:space="preserve"> </w:t>
      </w:r>
      <w:r>
        <w:rPr>
          <w:rFonts w:hint="eastAsia" w:ascii="Times New Roman" w:hAnsi="Times New Roman"/>
        </w:rPr>
        <w:t>本规则自202</w:t>
      </w:r>
      <w:r>
        <w:rPr>
          <w:rFonts w:hint="eastAsia" w:ascii="Times New Roman" w:hAnsi="Times New Roman"/>
          <w:lang w:val="en-US" w:eastAsia="zh-CN"/>
        </w:rPr>
        <w:t>4</w:t>
      </w:r>
      <w:r>
        <w:rPr>
          <w:rFonts w:hint="eastAsia" w:ascii="Times New Roman" w:hAnsi="Times New Roman"/>
        </w:rPr>
        <w:t>年</w:t>
      </w:r>
      <w:r>
        <w:rPr>
          <w:rFonts w:hint="eastAsia"/>
          <w:lang w:val="en-US" w:eastAsia="zh-CN"/>
        </w:rPr>
        <w:t>9</w:t>
      </w:r>
      <w:r>
        <w:rPr>
          <w:rFonts w:hint="eastAsia" w:ascii="Times New Roman" w:hAnsi="Times New Roman"/>
        </w:rPr>
        <w:t>月</w:t>
      </w:r>
      <w:r>
        <w:rPr>
          <w:rFonts w:hint="eastAsia"/>
          <w:lang w:val="en-US" w:eastAsia="zh-CN"/>
        </w:rPr>
        <w:t>1</w:t>
      </w:r>
      <w:r>
        <w:rPr>
          <w:rFonts w:hint="eastAsia" w:ascii="Times New Roman" w:hAnsi="Times New Roman"/>
        </w:rPr>
        <w:t>日起</w:t>
      </w:r>
      <w:r>
        <w:rPr>
          <w:rFonts w:hint="eastAsia" w:ascii="Times New Roman" w:hAnsi="Times New Roman"/>
          <w:lang w:val="en-US" w:eastAsia="zh-CN"/>
        </w:rPr>
        <w:t>施行</w:t>
      </w:r>
      <w:r>
        <w:rPr>
          <w:rFonts w:hint="eastAsia" w:ascii="Times New Roman" w:hAnsi="Times New Roman"/>
          <w:lang w:eastAsia="zh-CN"/>
        </w:rPr>
        <w:t>，</w:t>
      </w:r>
      <w:r>
        <w:rPr>
          <w:rFonts w:hint="eastAsia" w:ascii="Times New Roman" w:hAnsi="Times New Roman"/>
          <w:lang w:val="en-US" w:eastAsia="zh-CN"/>
        </w:rPr>
        <w:t>有效期</w:t>
      </w:r>
      <w:r>
        <w:rPr>
          <w:rFonts w:hint="eastAsia"/>
          <w:lang w:val="en-US" w:eastAsia="zh-CN"/>
        </w:rPr>
        <w:t>至2029年8月31日</w:t>
      </w:r>
      <w:r>
        <w:rPr>
          <w:rFonts w:hint="eastAsia" w:ascii="Times New Roman" w:hAnsi="Times New Roman"/>
        </w:rPr>
        <w:t>。</w:t>
      </w:r>
      <w:r>
        <w:rPr>
          <w:rFonts w:hint="default" w:ascii="Times New Roman" w:hAnsi="Times New Roman" w:eastAsia="仿宋_GB2312" w:cs="Times New Roman"/>
          <w:color w:val="auto"/>
          <w:sz w:val="32"/>
          <w:szCs w:val="32"/>
          <w:lang w:val="en-US" w:eastAsia="zh-CN"/>
        </w:rPr>
        <w:t>2019</w:t>
      </w:r>
      <w:r>
        <w:rPr>
          <w:rFonts w:hint="default" w:ascii="Times New Roman" w:hAnsi="Times New Roman" w:eastAsia="仿宋_GB2312" w:cs="Times New Roman"/>
          <w:color w:val="auto"/>
          <w:sz w:val="32"/>
          <w:szCs w:val="32"/>
        </w:rPr>
        <w:t>年</w:t>
      </w:r>
      <w:r>
        <w:rPr>
          <w:rFonts w:hint="eastAsia" w:ascii="Times New Roman" w:hAnsi="Times New Roman" w:cs="Times New Roman"/>
          <w:color w:val="auto"/>
          <w:sz w:val="32"/>
          <w:szCs w:val="32"/>
          <w:lang w:val="en-US" w:eastAsia="zh-CN"/>
        </w:rPr>
        <w:t>7</w:t>
      </w:r>
      <w:r>
        <w:rPr>
          <w:rFonts w:hint="default" w:ascii="Times New Roman" w:hAnsi="Times New Roman" w:eastAsia="仿宋_GB2312" w:cs="Times New Roman"/>
          <w:color w:val="auto"/>
          <w:sz w:val="32"/>
          <w:szCs w:val="32"/>
        </w:rPr>
        <w:t>月</w:t>
      </w:r>
      <w:r>
        <w:rPr>
          <w:rFonts w:hint="eastAsia" w:ascii="Times New Roman" w:hAnsi="Times New Roman" w:cs="Times New Roman"/>
          <w:color w:val="auto"/>
          <w:sz w:val="32"/>
          <w:szCs w:val="32"/>
          <w:lang w:val="en-US" w:eastAsia="zh-CN"/>
        </w:rPr>
        <w:t>8</w:t>
      </w:r>
      <w:r>
        <w:rPr>
          <w:rFonts w:hint="default" w:ascii="Times New Roman" w:hAnsi="Times New Roman" w:eastAsia="仿宋_GB2312" w:cs="Times New Roman"/>
          <w:color w:val="auto"/>
          <w:sz w:val="32"/>
          <w:szCs w:val="32"/>
        </w:rPr>
        <w:t>日出台的《薛城区</w:t>
      </w:r>
      <w:r>
        <w:rPr>
          <w:rFonts w:hint="eastAsia" w:ascii="Times New Roman" w:hAnsi="Times New Roman" w:cs="Times New Roman"/>
          <w:color w:val="auto"/>
          <w:sz w:val="32"/>
          <w:szCs w:val="32"/>
          <w:lang w:val="en-US" w:eastAsia="zh-CN"/>
        </w:rPr>
        <w:t>行政应诉工作办法</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薛</w:t>
      </w:r>
      <w:r>
        <w:rPr>
          <w:rFonts w:hint="default" w:ascii="Times New Roman" w:hAnsi="Times New Roman" w:eastAsia="仿宋_GB2312" w:cs="Times New Roman"/>
          <w:color w:val="auto"/>
          <w:sz w:val="32"/>
          <w:szCs w:val="32"/>
        </w:rPr>
        <w:t>政办发〔201</w:t>
      </w: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w:t>
      </w:r>
      <w:r>
        <w:rPr>
          <w:rFonts w:hint="eastAsia" w:ascii="Times New Roman" w:hAnsi="Times New Roman" w:cs="Times New Roman"/>
          <w:color w:val="auto"/>
          <w:sz w:val="32"/>
          <w:szCs w:val="32"/>
          <w:lang w:val="en-US" w:eastAsia="zh-CN"/>
        </w:rPr>
        <w:t>10</w:t>
      </w:r>
      <w:r>
        <w:rPr>
          <w:rFonts w:hint="default" w:ascii="Times New Roman" w:hAnsi="Times New Roman" w:eastAsia="仿宋_GB2312" w:cs="Times New Roman"/>
          <w:color w:val="auto"/>
          <w:sz w:val="32"/>
          <w:szCs w:val="32"/>
        </w:rPr>
        <w:t>号）</w:t>
      </w:r>
      <w:bookmarkStart w:id="0" w:name="_GoBack"/>
      <w:bookmarkEnd w:id="0"/>
      <w:r>
        <w:rPr>
          <w:rFonts w:hint="default" w:ascii="Times New Roman" w:hAnsi="Times New Roman" w:eastAsia="仿宋_GB2312" w:cs="Times New Roman"/>
          <w:color w:val="auto"/>
          <w:sz w:val="32"/>
          <w:szCs w:val="32"/>
        </w:rPr>
        <w:t>同时予以废止。</w:t>
      </w:r>
      <w:r>
        <w:rPr>
          <w:rFonts w:hint="default" w:ascii="Times New Roman" w:hAnsi="Times New Roman" w:eastAsia="仿宋_GB2312" w:cs="Times New Roman"/>
          <w:color w:val="auto"/>
          <w:sz w:val="32"/>
          <w:szCs w:val="32"/>
          <w:lang w:val="en-US" w:eastAsia="zh-CN"/>
        </w:rPr>
        <w:t xml:space="preserve"> </w:t>
      </w:r>
    </w:p>
    <w:p w14:paraId="2A463682">
      <w:pPr>
        <w:rPr>
          <w:rFonts w:hint="eastAsia" w:ascii="Times New Roman" w:hAnsi="Times New Roman"/>
        </w:rPr>
      </w:pPr>
    </w:p>
    <w:p w14:paraId="013B4716">
      <w:pPr>
        <w:pStyle w:val="6"/>
        <w:keepNext w:val="0"/>
        <w:keepLines w:val="0"/>
        <w:pageBreakBefore w:val="0"/>
        <w:widowControl w:val="0"/>
        <w:kinsoku/>
        <w:wordWrap/>
        <w:overflowPunct w:val="0"/>
        <w:topLinePunct w:val="0"/>
        <w:autoSpaceDE/>
        <w:autoSpaceDN/>
        <w:bidi w:val="0"/>
        <w:adjustRightInd/>
        <w:snapToGrid/>
        <w:spacing w:after="0" w:line="600" w:lineRule="exact"/>
        <w:textAlignment w:val="auto"/>
        <w:rPr>
          <w:rFonts w:hint="default" w:ascii="Times New Roman" w:hAnsi="Times New Roman" w:eastAsia="仿宋_GB2312" w:cs="Times New Roman"/>
          <w:sz w:val="32"/>
          <w:szCs w:val="32"/>
        </w:rPr>
      </w:pPr>
    </w:p>
    <w:p w14:paraId="70F4B1D6">
      <w:pPr>
        <w:pStyle w:val="6"/>
        <w:keepNext w:val="0"/>
        <w:keepLines w:val="0"/>
        <w:pageBreakBefore w:val="0"/>
        <w:widowControl w:val="0"/>
        <w:kinsoku/>
        <w:wordWrap/>
        <w:overflowPunct w:val="0"/>
        <w:topLinePunct w:val="0"/>
        <w:autoSpaceDE/>
        <w:autoSpaceDN/>
        <w:bidi w:val="0"/>
        <w:adjustRightInd/>
        <w:snapToGrid/>
        <w:spacing w:after="0" w:line="600" w:lineRule="exact"/>
        <w:textAlignment w:val="auto"/>
        <w:rPr>
          <w:rFonts w:hint="default" w:ascii="Times New Roman" w:hAnsi="Times New Roman" w:eastAsia="仿宋_GB2312" w:cs="Times New Roman"/>
          <w:sz w:val="32"/>
          <w:szCs w:val="32"/>
        </w:rPr>
      </w:pPr>
    </w:p>
    <w:p w14:paraId="7F8A6878">
      <w:pPr>
        <w:pStyle w:val="6"/>
        <w:keepNext w:val="0"/>
        <w:keepLines w:val="0"/>
        <w:pageBreakBefore w:val="0"/>
        <w:widowControl w:val="0"/>
        <w:kinsoku/>
        <w:wordWrap/>
        <w:overflowPunct w:val="0"/>
        <w:topLinePunct w:val="0"/>
        <w:autoSpaceDE/>
        <w:autoSpaceDN/>
        <w:bidi w:val="0"/>
        <w:adjustRightInd/>
        <w:snapToGrid/>
        <w:spacing w:after="0" w:line="600" w:lineRule="exact"/>
        <w:textAlignment w:val="auto"/>
        <w:rPr>
          <w:rFonts w:hint="default" w:ascii="Times New Roman" w:hAnsi="Times New Roman" w:eastAsia="仿宋_GB2312" w:cs="Times New Roman"/>
          <w:sz w:val="32"/>
          <w:szCs w:val="32"/>
        </w:rPr>
      </w:pPr>
    </w:p>
    <w:p w14:paraId="0625D639">
      <w:pPr>
        <w:pStyle w:val="6"/>
        <w:keepNext w:val="0"/>
        <w:keepLines w:val="0"/>
        <w:pageBreakBefore w:val="0"/>
        <w:widowControl w:val="0"/>
        <w:kinsoku/>
        <w:wordWrap/>
        <w:overflowPunct w:val="0"/>
        <w:topLinePunct w:val="0"/>
        <w:autoSpaceDE/>
        <w:autoSpaceDN/>
        <w:bidi w:val="0"/>
        <w:adjustRightInd/>
        <w:snapToGrid/>
        <w:spacing w:after="0" w:line="600" w:lineRule="exact"/>
        <w:textAlignment w:val="auto"/>
        <w:rPr>
          <w:rFonts w:hint="default" w:ascii="Times New Roman" w:hAnsi="Times New Roman" w:eastAsia="仿宋_GB2312" w:cs="Times New Roman"/>
          <w:sz w:val="32"/>
          <w:szCs w:val="32"/>
        </w:rPr>
      </w:pPr>
    </w:p>
    <w:p w14:paraId="5729F933">
      <w:pPr>
        <w:pStyle w:val="6"/>
        <w:keepNext w:val="0"/>
        <w:keepLines w:val="0"/>
        <w:pageBreakBefore w:val="0"/>
        <w:widowControl w:val="0"/>
        <w:kinsoku/>
        <w:wordWrap/>
        <w:overflowPunct w:val="0"/>
        <w:topLinePunct w:val="0"/>
        <w:autoSpaceDE/>
        <w:autoSpaceDN/>
        <w:bidi w:val="0"/>
        <w:adjustRightInd/>
        <w:snapToGrid/>
        <w:spacing w:after="0" w:line="600" w:lineRule="exact"/>
        <w:textAlignment w:val="auto"/>
        <w:rPr>
          <w:rFonts w:hint="default" w:ascii="Times New Roman" w:hAnsi="Times New Roman" w:eastAsia="仿宋_GB2312" w:cs="Times New Roman"/>
          <w:sz w:val="32"/>
          <w:szCs w:val="32"/>
        </w:rPr>
      </w:pPr>
    </w:p>
    <w:p w14:paraId="085F0C16">
      <w:pPr>
        <w:pStyle w:val="6"/>
        <w:keepNext w:val="0"/>
        <w:keepLines w:val="0"/>
        <w:pageBreakBefore w:val="0"/>
        <w:widowControl w:val="0"/>
        <w:kinsoku/>
        <w:wordWrap/>
        <w:overflowPunct w:val="0"/>
        <w:topLinePunct w:val="0"/>
        <w:autoSpaceDE/>
        <w:autoSpaceDN/>
        <w:bidi w:val="0"/>
        <w:adjustRightInd/>
        <w:snapToGrid/>
        <w:spacing w:after="0" w:line="600" w:lineRule="exact"/>
        <w:textAlignment w:val="auto"/>
        <w:rPr>
          <w:rFonts w:hint="default" w:ascii="Times New Roman" w:hAnsi="Times New Roman" w:eastAsia="仿宋_GB2312" w:cs="Times New Roman"/>
          <w:sz w:val="32"/>
          <w:szCs w:val="32"/>
        </w:rPr>
      </w:pPr>
    </w:p>
    <w:p w14:paraId="5AE2B222">
      <w:pPr>
        <w:pStyle w:val="6"/>
        <w:keepNext w:val="0"/>
        <w:keepLines w:val="0"/>
        <w:pageBreakBefore w:val="0"/>
        <w:widowControl w:val="0"/>
        <w:kinsoku/>
        <w:wordWrap/>
        <w:overflowPunct w:val="0"/>
        <w:topLinePunct w:val="0"/>
        <w:autoSpaceDE/>
        <w:autoSpaceDN/>
        <w:bidi w:val="0"/>
        <w:adjustRightInd/>
        <w:snapToGrid/>
        <w:spacing w:after="0" w:line="600" w:lineRule="exact"/>
        <w:textAlignment w:val="auto"/>
        <w:rPr>
          <w:rFonts w:hint="default" w:ascii="Times New Roman" w:hAnsi="Times New Roman" w:eastAsia="仿宋_GB2312" w:cs="Times New Roman"/>
          <w:sz w:val="32"/>
          <w:szCs w:val="32"/>
        </w:rPr>
      </w:pPr>
    </w:p>
    <w:p w14:paraId="746AC70C">
      <w:pPr>
        <w:pStyle w:val="6"/>
        <w:keepNext w:val="0"/>
        <w:keepLines w:val="0"/>
        <w:pageBreakBefore w:val="0"/>
        <w:widowControl w:val="0"/>
        <w:kinsoku/>
        <w:wordWrap/>
        <w:overflowPunct w:val="0"/>
        <w:topLinePunct w:val="0"/>
        <w:autoSpaceDE/>
        <w:autoSpaceDN/>
        <w:bidi w:val="0"/>
        <w:adjustRightInd/>
        <w:snapToGrid/>
        <w:spacing w:after="0" w:line="600" w:lineRule="exact"/>
        <w:textAlignment w:val="auto"/>
        <w:rPr>
          <w:rFonts w:hint="default" w:ascii="Times New Roman" w:hAnsi="Times New Roman" w:eastAsia="仿宋_GB2312" w:cs="Times New Roman"/>
          <w:sz w:val="32"/>
          <w:szCs w:val="32"/>
        </w:rPr>
      </w:pPr>
    </w:p>
    <w:p w14:paraId="7A137CC8">
      <w:pPr>
        <w:pStyle w:val="6"/>
        <w:keepNext w:val="0"/>
        <w:keepLines w:val="0"/>
        <w:pageBreakBefore w:val="0"/>
        <w:widowControl w:val="0"/>
        <w:kinsoku/>
        <w:wordWrap/>
        <w:overflowPunct w:val="0"/>
        <w:topLinePunct w:val="0"/>
        <w:autoSpaceDE/>
        <w:autoSpaceDN/>
        <w:bidi w:val="0"/>
        <w:adjustRightInd/>
        <w:snapToGrid/>
        <w:spacing w:after="0" w:line="600" w:lineRule="exact"/>
        <w:textAlignment w:val="auto"/>
        <w:rPr>
          <w:rFonts w:hint="default" w:ascii="Times New Roman" w:hAnsi="Times New Roman" w:eastAsia="仿宋_GB2312" w:cs="Times New Roman"/>
          <w:sz w:val="32"/>
          <w:szCs w:val="32"/>
        </w:rPr>
      </w:pPr>
    </w:p>
    <w:p w14:paraId="3BA1767E">
      <w:pPr>
        <w:pStyle w:val="6"/>
        <w:keepNext w:val="0"/>
        <w:keepLines w:val="0"/>
        <w:pageBreakBefore w:val="0"/>
        <w:widowControl w:val="0"/>
        <w:kinsoku/>
        <w:wordWrap/>
        <w:overflowPunct w:val="0"/>
        <w:topLinePunct w:val="0"/>
        <w:autoSpaceDE/>
        <w:autoSpaceDN/>
        <w:bidi w:val="0"/>
        <w:adjustRightInd/>
        <w:snapToGrid/>
        <w:spacing w:after="0" w:line="600" w:lineRule="exact"/>
        <w:textAlignment w:val="auto"/>
        <w:rPr>
          <w:rFonts w:hint="default" w:ascii="Times New Roman" w:hAnsi="Times New Roman" w:eastAsia="仿宋_GB2312" w:cs="Times New Roman"/>
          <w:sz w:val="32"/>
          <w:szCs w:val="32"/>
        </w:rPr>
      </w:pPr>
    </w:p>
    <w:p w14:paraId="416223D8">
      <w:pPr>
        <w:pStyle w:val="6"/>
        <w:keepNext w:val="0"/>
        <w:keepLines w:val="0"/>
        <w:pageBreakBefore w:val="0"/>
        <w:widowControl w:val="0"/>
        <w:kinsoku/>
        <w:wordWrap/>
        <w:overflowPunct w:val="0"/>
        <w:topLinePunct w:val="0"/>
        <w:autoSpaceDE/>
        <w:autoSpaceDN/>
        <w:bidi w:val="0"/>
        <w:adjustRightInd/>
        <w:snapToGrid/>
        <w:spacing w:after="0" w:line="600" w:lineRule="exact"/>
        <w:textAlignment w:val="auto"/>
        <w:rPr>
          <w:rFonts w:hint="default" w:ascii="Times New Roman" w:hAnsi="Times New Roman" w:eastAsia="仿宋_GB2312" w:cs="Times New Roman"/>
          <w:sz w:val="32"/>
          <w:szCs w:val="32"/>
        </w:rPr>
      </w:pPr>
    </w:p>
    <w:p w14:paraId="39ABC90F">
      <w:pPr>
        <w:pStyle w:val="6"/>
        <w:keepNext w:val="0"/>
        <w:keepLines w:val="0"/>
        <w:pageBreakBefore w:val="0"/>
        <w:widowControl w:val="0"/>
        <w:kinsoku/>
        <w:wordWrap/>
        <w:overflowPunct w:val="0"/>
        <w:topLinePunct w:val="0"/>
        <w:autoSpaceDE/>
        <w:autoSpaceDN/>
        <w:bidi w:val="0"/>
        <w:adjustRightInd/>
        <w:snapToGrid/>
        <w:spacing w:after="0" w:line="600" w:lineRule="exact"/>
        <w:textAlignment w:val="auto"/>
        <w:rPr>
          <w:rFonts w:hint="default" w:ascii="Times New Roman" w:hAnsi="Times New Roman" w:eastAsia="仿宋_GB2312" w:cs="Times New Roman"/>
          <w:sz w:val="32"/>
          <w:szCs w:val="32"/>
        </w:rPr>
      </w:pPr>
    </w:p>
    <w:p w14:paraId="40D686E2">
      <w:pPr>
        <w:pStyle w:val="6"/>
        <w:keepNext w:val="0"/>
        <w:keepLines w:val="0"/>
        <w:pageBreakBefore w:val="0"/>
        <w:widowControl w:val="0"/>
        <w:kinsoku/>
        <w:wordWrap/>
        <w:overflowPunct w:val="0"/>
        <w:topLinePunct w:val="0"/>
        <w:autoSpaceDE/>
        <w:autoSpaceDN/>
        <w:bidi w:val="0"/>
        <w:adjustRightInd/>
        <w:snapToGrid/>
        <w:spacing w:after="0" w:line="600" w:lineRule="exact"/>
        <w:textAlignment w:val="auto"/>
        <w:rPr>
          <w:rFonts w:hint="default" w:ascii="Times New Roman" w:hAnsi="Times New Roman" w:eastAsia="仿宋_GB2312" w:cs="Times New Roman"/>
          <w:sz w:val="32"/>
          <w:szCs w:val="32"/>
        </w:rPr>
      </w:pPr>
    </w:p>
    <w:p w14:paraId="01EDC786">
      <w:pPr>
        <w:pStyle w:val="6"/>
        <w:keepNext w:val="0"/>
        <w:keepLines w:val="0"/>
        <w:pageBreakBefore w:val="0"/>
        <w:widowControl w:val="0"/>
        <w:kinsoku/>
        <w:wordWrap/>
        <w:overflowPunct w:val="0"/>
        <w:topLinePunct w:val="0"/>
        <w:autoSpaceDE/>
        <w:autoSpaceDN/>
        <w:bidi w:val="0"/>
        <w:adjustRightInd/>
        <w:snapToGrid/>
        <w:spacing w:after="0" w:line="600" w:lineRule="exact"/>
        <w:textAlignment w:val="auto"/>
        <w:rPr>
          <w:rFonts w:hint="default" w:ascii="Times New Roman" w:hAnsi="Times New Roman" w:eastAsia="仿宋_GB2312" w:cs="Times New Roman"/>
          <w:sz w:val="32"/>
          <w:szCs w:val="32"/>
        </w:rPr>
      </w:pPr>
    </w:p>
    <w:p w14:paraId="4CF8A116">
      <w:pPr>
        <w:pStyle w:val="6"/>
        <w:keepNext w:val="0"/>
        <w:keepLines w:val="0"/>
        <w:pageBreakBefore w:val="0"/>
        <w:widowControl w:val="0"/>
        <w:kinsoku/>
        <w:wordWrap/>
        <w:overflowPunct w:val="0"/>
        <w:topLinePunct w:val="0"/>
        <w:autoSpaceDE/>
        <w:autoSpaceDN/>
        <w:bidi w:val="0"/>
        <w:adjustRightInd/>
        <w:snapToGrid/>
        <w:spacing w:after="0" w:line="600" w:lineRule="exact"/>
        <w:textAlignment w:val="auto"/>
        <w:rPr>
          <w:rFonts w:hint="default" w:ascii="Times New Roman" w:hAnsi="Times New Roman" w:eastAsia="仿宋_GB2312" w:cs="Times New Roman"/>
          <w:sz w:val="32"/>
          <w:szCs w:val="32"/>
        </w:rPr>
      </w:pPr>
    </w:p>
    <w:p w14:paraId="5A7EFF2B">
      <w:pPr>
        <w:pStyle w:val="6"/>
        <w:keepNext w:val="0"/>
        <w:keepLines w:val="0"/>
        <w:pageBreakBefore w:val="0"/>
        <w:widowControl w:val="0"/>
        <w:kinsoku/>
        <w:wordWrap/>
        <w:overflowPunct w:val="0"/>
        <w:topLinePunct w:val="0"/>
        <w:autoSpaceDE/>
        <w:autoSpaceDN/>
        <w:bidi w:val="0"/>
        <w:adjustRightInd/>
        <w:snapToGrid/>
        <w:spacing w:after="0" w:line="600" w:lineRule="exact"/>
        <w:textAlignment w:val="auto"/>
        <w:rPr>
          <w:rFonts w:hint="default" w:ascii="Times New Roman" w:hAnsi="Times New Roman" w:eastAsia="仿宋_GB2312" w:cs="Times New Roman"/>
          <w:sz w:val="32"/>
          <w:szCs w:val="32"/>
        </w:rPr>
      </w:pPr>
    </w:p>
    <w:p w14:paraId="010BA751">
      <w:pPr>
        <w:pStyle w:val="6"/>
        <w:keepNext w:val="0"/>
        <w:keepLines w:val="0"/>
        <w:pageBreakBefore w:val="0"/>
        <w:widowControl w:val="0"/>
        <w:kinsoku/>
        <w:wordWrap/>
        <w:overflowPunct w:val="0"/>
        <w:topLinePunct w:val="0"/>
        <w:autoSpaceDE/>
        <w:autoSpaceDN/>
        <w:bidi w:val="0"/>
        <w:adjustRightInd/>
        <w:snapToGrid/>
        <w:spacing w:after="0" w:line="600" w:lineRule="exact"/>
        <w:textAlignment w:val="auto"/>
        <w:rPr>
          <w:rFonts w:hint="default" w:ascii="Times New Roman" w:hAnsi="Times New Roman" w:eastAsia="仿宋_GB2312" w:cs="Times New Roman"/>
          <w:sz w:val="32"/>
          <w:szCs w:val="32"/>
        </w:rPr>
      </w:pPr>
    </w:p>
    <w:p w14:paraId="2FAFF825">
      <w:pPr>
        <w:pStyle w:val="6"/>
        <w:keepNext w:val="0"/>
        <w:keepLines w:val="0"/>
        <w:pageBreakBefore w:val="0"/>
        <w:widowControl w:val="0"/>
        <w:kinsoku/>
        <w:wordWrap/>
        <w:overflowPunct w:val="0"/>
        <w:topLinePunct w:val="0"/>
        <w:autoSpaceDE/>
        <w:autoSpaceDN/>
        <w:bidi w:val="0"/>
        <w:adjustRightInd/>
        <w:snapToGrid/>
        <w:spacing w:after="0" w:line="600" w:lineRule="exact"/>
        <w:textAlignment w:val="auto"/>
        <w:rPr>
          <w:rFonts w:hint="default" w:ascii="Times New Roman" w:hAnsi="Times New Roman" w:eastAsia="仿宋_GB2312" w:cs="Times New Roman"/>
          <w:sz w:val="32"/>
          <w:szCs w:val="32"/>
        </w:rPr>
      </w:pPr>
    </w:p>
    <w:p w14:paraId="42718C27">
      <w:pPr>
        <w:pStyle w:val="6"/>
        <w:keepNext w:val="0"/>
        <w:keepLines w:val="0"/>
        <w:pageBreakBefore w:val="0"/>
        <w:widowControl w:val="0"/>
        <w:kinsoku/>
        <w:wordWrap/>
        <w:overflowPunct w:val="0"/>
        <w:topLinePunct w:val="0"/>
        <w:autoSpaceDE/>
        <w:autoSpaceDN/>
        <w:bidi w:val="0"/>
        <w:adjustRightInd/>
        <w:snapToGrid/>
        <w:spacing w:after="0" w:line="600" w:lineRule="exact"/>
        <w:textAlignment w:val="auto"/>
        <w:rPr>
          <w:rFonts w:hint="default" w:ascii="Times New Roman" w:hAnsi="Times New Roman" w:eastAsia="仿宋_GB2312" w:cs="Times New Roman"/>
          <w:sz w:val="32"/>
          <w:szCs w:val="32"/>
        </w:rPr>
      </w:pPr>
    </w:p>
    <w:p w14:paraId="51B73351">
      <w:pPr>
        <w:pStyle w:val="6"/>
        <w:keepNext w:val="0"/>
        <w:keepLines w:val="0"/>
        <w:pageBreakBefore w:val="0"/>
        <w:widowControl w:val="0"/>
        <w:kinsoku/>
        <w:wordWrap/>
        <w:overflowPunct w:val="0"/>
        <w:topLinePunct w:val="0"/>
        <w:autoSpaceDE/>
        <w:autoSpaceDN/>
        <w:bidi w:val="0"/>
        <w:adjustRightInd/>
        <w:snapToGrid/>
        <w:spacing w:after="0" w:line="600" w:lineRule="exact"/>
        <w:textAlignment w:val="auto"/>
        <w:rPr>
          <w:rFonts w:hint="default" w:ascii="Times New Roman" w:hAnsi="Times New Roman" w:eastAsia="仿宋_GB2312" w:cs="Times New Roman"/>
          <w:sz w:val="32"/>
          <w:szCs w:val="32"/>
        </w:rPr>
      </w:pPr>
    </w:p>
    <w:p w14:paraId="699C5256">
      <w:pPr>
        <w:pStyle w:val="6"/>
        <w:keepNext w:val="0"/>
        <w:keepLines w:val="0"/>
        <w:pageBreakBefore w:val="0"/>
        <w:widowControl w:val="0"/>
        <w:kinsoku/>
        <w:wordWrap/>
        <w:overflowPunct w:val="0"/>
        <w:topLinePunct w:val="0"/>
        <w:autoSpaceDE/>
        <w:autoSpaceDN/>
        <w:bidi w:val="0"/>
        <w:adjustRightInd/>
        <w:snapToGrid/>
        <w:spacing w:after="0" w:line="600" w:lineRule="exact"/>
        <w:textAlignment w:val="auto"/>
        <w:rPr>
          <w:rFonts w:hint="default" w:ascii="Times New Roman" w:hAnsi="Times New Roman" w:eastAsia="仿宋_GB2312" w:cs="Times New Roman"/>
          <w:sz w:val="32"/>
          <w:szCs w:val="32"/>
        </w:rPr>
      </w:pPr>
    </w:p>
    <w:p w14:paraId="35297600">
      <w:pPr>
        <w:pStyle w:val="6"/>
        <w:keepNext w:val="0"/>
        <w:keepLines w:val="0"/>
        <w:pageBreakBefore w:val="0"/>
        <w:widowControl w:val="0"/>
        <w:kinsoku/>
        <w:wordWrap/>
        <w:overflowPunct w:val="0"/>
        <w:topLinePunct w:val="0"/>
        <w:autoSpaceDE/>
        <w:autoSpaceDN/>
        <w:bidi w:val="0"/>
        <w:adjustRightInd/>
        <w:snapToGrid/>
        <w:spacing w:after="0" w:line="600" w:lineRule="exact"/>
        <w:textAlignment w:val="auto"/>
        <w:rPr>
          <w:rFonts w:hint="default" w:ascii="Times New Roman" w:hAnsi="Times New Roman" w:eastAsia="仿宋_GB2312" w:cs="Times New Roman"/>
          <w:sz w:val="32"/>
          <w:szCs w:val="32"/>
        </w:rPr>
      </w:pPr>
    </w:p>
    <w:p w14:paraId="2B57130A">
      <w:pPr>
        <w:pStyle w:val="6"/>
        <w:keepNext w:val="0"/>
        <w:keepLines w:val="0"/>
        <w:pageBreakBefore w:val="0"/>
        <w:widowControl w:val="0"/>
        <w:kinsoku/>
        <w:wordWrap/>
        <w:overflowPunct w:val="0"/>
        <w:topLinePunct w:val="0"/>
        <w:autoSpaceDE/>
        <w:autoSpaceDN/>
        <w:bidi w:val="0"/>
        <w:adjustRightInd/>
        <w:snapToGrid/>
        <w:spacing w:after="0" w:line="600" w:lineRule="exact"/>
        <w:textAlignment w:val="auto"/>
        <w:rPr>
          <w:rFonts w:hint="default" w:ascii="Times New Roman" w:hAnsi="Times New Roman" w:eastAsia="仿宋_GB2312" w:cs="Times New Roman"/>
          <w:sz w:val="32"/>
          <w:szCs w:val="32"/>
        </w:rPr>
      </w:pPr>
    </w:p>
    <w:p w14:paraId="50DAA5D0">
      <w:pPr>
        <w:pStyle w:val="6"/>
        <w:keepNext w:val="0"/>
        <w:keepLines w:val="0"/>
        <w:pageBreakBefore w:val="0"/>
        <w:widowControl w:val="0"/>
        <w:kinsoku/>
        <w:wordWrap/>
        <w:overflowPunct w:val="0"/>
        <w:topLinePunct w:val="0"/>
        <w:autoSpaceDE/>
        <w:autoSpaceDN/>
        <w:bidi w:val="0"/>
        <w:adjustRightInd/>
        <w:snapToGrid/>
        <w:spacing w:after="0" w:line="600" w:lineRule="exact"/>
        <w:textAlignment w:val="auto"/>
        <w:rPr>
          <w:rFonts w:hint="default" w:ascii="Times New Roman" w:hAnsi="Times New Roman" w:eastAsia="仿宋_GB2312" w:cs="Times New Roman"/>
          <w:sz w:val="32"/>
          <w:szCs w:val="32"/>
        </w:rPr>
      </w:pPr>
    </w:p>
    <w:p w14:paraId="275026C9">
      <w:pPr>
        <w:pStyle w:val="6"/>
        <w:keepNext w:val="0"/>
        <w:keepLines w:val="0"/>
        <w:pageBreakBefore w:val="0"/>
        <w:widowControl w:val="0"/>
        <w:kinsoku/>
        <w:wordWrap/>
        <w:overflowPunct w:val="0"/>
        <w:topLinePunct w:val="0"/>
        <w:autoSpaceDE/>
        <w:autoSpaceDN/>
        <w:bidi w:val="0"/>
        <w:adjustRightInd/>
        <w:snapToGrid/>
        <w:spacing w:after="0" w:line="600" w:lineRule="exact"/>
        <w:textAlignment w:val="auto"/>
        <w:rPr>
          <w:rFonts w:hint="default" w:ascii="Times New Roman" w:hAnsi="Times New Roman" w:eastAsia="仿宋_GB2312" w:cs="Times New Roman"/>
          <w:sz w:val="32"/>
          <w:szCs w:val="32"/>
        </w:rPr>
      </w:pPr>
    </w:p>
    <w:p w14:paraId="64C8ED3D">
      <w:pPr>
        <w:pStyle w:val="6"/>
        <w:keepNext w:val="0"/>
        <w:keepLines w:val="0"/>
        <w:pageBreakBefore w:val="0"/>
        <w:widowControl w:val="0"/>
        <w:kinsoku/>
        <w:wordWrap/>
        <w:overflowPunct w:val="0"/>
        <w:topLinePunct w:val="0"/>
        <w:autoSpaceDE/>
        <w:autoSpaceDN/>
        <w:bidi w:val="0"/>
        <w:adjustRightInd/>
        <w:snapToGrid/>
        <w:spacing w:after="0" w:line="600" w:lineRule="exact"/>
        <w:textAlignment w:val="auto"/>
        <w:rPr>
          <w:rFonts w:hint="default" w:ascii="Times New Roman" w:hAnsi="Times New Roman" w:eastAsia="仿宋_GB2312" w:cs="Times New Roman"/>
          <w:sz w:val="32"/>
          <w:szCs w:val="32"/>
        </w:rPr>
      </w:pPr>
    </w:p>
    <w:p w14:paraId="16FBE968">
      <w:pPr>
        <w:pStyle w:val="6"/>
        <w:keepNext w:val="0"/>
        <w:keepLines w:val="0"/>
        <w:pageBreakBefore w:val="0"/>
        <w:widowControl w:val="0"/>
        <w:kinsoku/>
        <w:wordWrap/>
        <w:overflowPunct w:val="0"/>
        <w:topLinePunct w:val="0"/>
        <w:autoSpaceDE/>
        <w:autoSpaceDN/>
        <w:bidi w:val="0"/>
        <w:adjustRightInd/>
        <w:snapToGrid/>
        <w:spacing w:after="0" w:line="600" w:lineRule="exact"/>
        <w:textAlignment w:val="auto"/>
        <w:rPr>
          <w:rFonts w:hint="default" w:ascii="Times New Roman" w:hAnsi="Times New Roman" w:eastAsia="仿宋_GB2312" w:cs="Times New Roman"/>
          <w:sz w:val="32"/>
          <w:szCs w:val="32"/>
        </w:rPr>
      </w:pPr>
    </w:p>
    <w:p w14:paraId="09A4DFA4">
      <w:pPr>
        <w:pStyle w:val="6"/>
        <w:keepNext w:val="0"/>
        <w:keepLines w:val="0"/>
        <w:pageBreakBefore w:val="0"/>
        <w:widowControl w:val="0"/>
        <w:kinsoku/>
        <w:wordWrap/>
        <w:overflowPunct w:val="0"/>
        <w:topLinePunct w:val="0"/>
        <w:autoSpaceDE/>
        <w:autoSpaceDN/>
        <w:bidi w:val="0"/>
        <w:adjustRightInd/>
        <w:snapToGrid/>
        <w:spacing w:after="0" w:line="600" w:lineRule="exact"/>
        <w:textAlignment w:val="auto"/>
        <w:rPr>
          <w:rFonts w:hint="default" w:ascii="Times New Roman" w:hAnsi="Times New Roman" w:eastAsia="仿宋_GB2312" w:cs="Times New Roman"/>
          <w:sz w:val="32"/>
          <w:szCs w:val="32"/>
        </w:rPr>
      </w:pPr>
    </w:p>
    <w:p w14:paraId="34013313">
      <w:pPr>
        <w:pStyle w:val="6"/>
        <w:keepNext w:val="0"/>
        <w:keepLines w:val="0"/>
        <w:pageBreakBefore w:val="0"/>
        <w:widowControl w:val="0"/>
        <w:kinsoku/>
        <w:wordWrap/>
        <w:overflowPunct w:val="0"/>
        <w:topLinePunct w:val="0"/>
        <w:autoSpaceDE/>
        <w:autoSpaceDN/>
        <w:bidi w:val="0"/>
        <w:adjustRightInd/>
        <w:snapToGrid/>
        <w:spacing w:after="0" w:line="600" w:lineRule="exact"/>
        <w:textAlignment w:val="auto"/>
        <w:rPr>
          <w:rFonts w:hint="default" w:ascii="Times New Roman" w:hAnsi="Times New Roman" w:eastAsia="仿宋_GB2312" w:cs="Times New Roman"/>
          <w:sz w:val="32"/>
          <w:szCs w:val="32"/>
        </w:rPr>
      </w:pPr>
    </w:p>
    <w:p w14:paraId="61F11341">
      <w:pPr>
        <w:pStyle w:val="6"/>
        <w:keepNext w:val="0"/>
        <w:keepLines w:val="0"/>
        <w:pageBreakBefore w:val="0"/>
        <w:widowControl w:val="0"/>
        <w:kinsoku/>
        <w:wordWrap/>
        <w:overflowPunct w:val="0"/>
        <w:topLinePunct w:val="0"/>
        <w:autoSpaceDE/>
        <w:autoSpaceDN/>
        <w:bidi w:val="0"/>
        <w:adjustRightInd/>
        <w:snapToGrid/>
        <w:spacing w:after="0" w:line="600" w:lineRule="exact"/>
        <w:textAlignment w:val="auto"/>
        <w:rPr>
          <w:rFonts w:hint="default" w:ascii="Times New Roman" w:hAnsi="Times New Roman" w:eastAsia="仿宋_GB2312" w:cs="Times New Roman"/>
          <w:sz w:val="32"/>
          <w:szCs w:val="32"/>
        </w:rPr>
      </w:pPr>
    </w:p>
    <w:p w14:paraId="1399BC02">
      <w:pPr>
        <w:pStyle w:val="6"/>
        <w:keepNext w:val="0"/>
        <w:keepLines w:val="0"/>
        <w:pageBreakBefore w:val="0"/>
        <w:widowControl w:val="0"/>
        <w:kinsoku/>
        <w:wordWrap/>
        <w:overflowPunct w:val="0"/>
        <w:topLinePunct w:val="0"/>
        <w:autoSpaceDE/>
        <w:autoSpaceDN/>
        <w:bidi w:val="0"/>
        <w:adjustRightInd/>
        <w:snapToGrid/>
        <w:spacing w:after="0" w:line="600" w:lineRule="exact"/>
        <w:textAlignment w:val="auto"/>
        <w:rPr>
          <w:rFonts w:hint="default" w:ascii="Times New Roman" w:hAnsi="Times New Roman" w:eastAsia="仿宋_GB2312" w:cs="Times New Roman"/>
          <w:sz w:val="32"/>
          <w:szCs w:val="32"/>
        </w:rPr>
      </w:pPr>
    </w:p>
    <w:p w14:paraId="2E8FF4C1">
      <w:pPr>
        <w:pStyle w:val="6"/>
        <w:keepNext w:val="0"/>
        <w:keepLines w:val="0"/>
        <w:pageBreakBefore w:val="0"/>
        <w:widowControl w:val="0"/>
        <w:kinsoku/>
        <w:wordWrap/>
        <w:overflowPunct w:val="0"/>
        <w:topLinePunct w:val="0"/>
        <w:autoSpaceDE/>
        <w:autoSpaceDN/>
        <w:bidi w:val="0"/>
        <w:adjustRightInd/>
        <w:snapToGrid/>
        <w:spacing w:after="0" w:line="600" w:lineRule="exact"/>
        <w:textAlignment w:val="auto"/>
        <w:rPr>
          <w:rFonts w:hint="default" w:ascii="Times New Roman" w:hAnsi="Times New Roman" w:eastAsia="仿宋_GB2312" w:cs="Times New Roman"/>
          <w:sz w:val="32"/>
          <w:szCs w:val="32"/>
        </w:rPr>
      </w:pPr>
    </w:p>
    <w:p w14:paraId="1CB8E6C4">
      <w:pPr>
        <w:pStyle w:val="6"/>
        <w:keepNext w:val="0"/>
        <w:keepLines w:val="0"/>
        <w:pageBreakBefore w:val="0"/>
        <w:widowControl w:val="0"/>
        <w:kinsoku/>
        <w:wordWrap/>
        <w:overflowPunct w:val="0"/>
        <w:topLinePunct w:val="0"/>
        <w:autoSpaceDE/>
        <w:autoSpaceDN/>
        <w:bidi w:val="0"/>
        <w:adjustRightInd/>
        <w:snapToGrid/>
        <w:spacing w:after="0" w:line="600" w:lineRule="exact"/>
        <w:textAlignment w:val="auto"/>
        <w:rPr>
          <w:rFonts w:hint="default" w:ascii="Times New Roman" w:hAnsi="Times New Roman" w:eastAsia="仿宋_GB2312" w:cs="Times New Roman"/>
          <w:sz w:val="32"/>
          <w:szCs w:val="32"/>
        </w:rPr>
      </w:pPr>
    </w:p>
    <w:p w14:paraId="2771660B">
      <w:pPr>
        <w:pStyle w:val="6"/>
        <w:keepNext w:val="0"/>
        <w:keepLines w:val="0"/>
        <w:pageBreakBefore w:val="0"/>
        <w:widowControl w:val="0"/>
        <w:kinsoku/>
        <w:wordWrap/>
        <w:overflowPunct w:val="0"/>
        <w:topLinePunct w:val="0"/>
        <w:autoSpaceDE/>
        <w:autoSpaceDN/>
        <w:bidi w:val="0"/>
        <w:adjustRightInd/>
        <w:snapToGrid/>
        <w:spacing w:after="0" w:line="600" w:lineRule="exact"/>
        <w:textAlignment w:val="auto"/>
        <w:rPr>
          <w:rFonts w:hint="default" w:ascii="Times New Roman" w:hAnsi="Times New Roman" w:eastAsia="仿宋_GB2312" w:cs="Times New Roman"/>
          <w:sz w:val="32"/>
          <w:szCs w:val="32"/>
        </w:rPr>
      </w:pPr>
    </w:p>
    <w:p w14:paraId="73A08E01">
      <w:pPr>
        <w:pStyle w:val="6"/>
        <w:keepNext w:val="0"/>
        <w:keepLines w:val="0"/>
        <w:pageBreakBefore w:val="0"/>
        <w:widowControl w:val="0"/>
        <w:kinsoku/>
        <w:wordWrap/>
        <w:overflowPunct w:val="0"/>
        <w:topLinePunct w:val="0"/>
        <w:autoSpaceDE/>
        <w:autoSpaceDN/>
        <w:bidi w:val="0"/>
        <w:adjustRightInd/>
        <w:snapToGrid/>
        <w:spacing w:after="0" w:line="600" w:lineRule="exact"/>
        <w:textAlignment w:val="auto"/>
        <w:rPr>
          <w:rFonts w:hint="default" w:ascii="Times New Roman" w:hAnsi="Times New Roman" w:eastAsia="仿宋_GB2312" w:cs="Times New Roman"/>
          <w:sz w:val="32"/>
          <w:szCs w:val="32"/>
        </w:rPr>
      </w:pPr>
    </w:p>
    <w:p w14:paraId="7945E189">
      <w:pPr>
        <w:pStyle w:val="7"/>
        <w:keepNext w:val="0"/>
        <w:keepLines w:val="0"/>
        <w:pageBreakBefore w:val="0"/>
        <w:widowControl w:val="0"/>
        <w:kinsoku/>
        <w:wordWrap/>
        <w:overflowPunct w:val="0"/>
        <w:topLinePunct w:val="0"/>
        <w:autoSpaceDE/>
        <w:autoSpaceDN/>
        <w:bidi w:val="0"/>
        <w:adjustRightInd/>
        <w:snapToGrid/>
        <w:spacing w:after="0" w:line="600" w:lineRule="exact"/>
        <w:ind w:left="0" w:leftChars="0" w:firstLine="0" w:firstLineChars="0"/>
        <w:textAlignment w:val="auto"/>
      </w:pPr>
      <w:r>
        <w:rPr>
          <w:rFonts w:hint="default" w:ascii="Times New Roman" w:hAnsi="Times New Roman" w:cs="Times New Roman"/>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-178435</wp:posOffset>
                </wp:positionH>
                <wp:positionV relativeFrom="paragraph">
                  <wp:posOffset>12065</wp:posOffset>
                </wp:positionV>
                <wp:extent cx="5706745" cy="0"/>
                <wp:effectExtent l="0" t="4445" r="0" b="5080"/>
                <wp:wrapNone/>
                <wp:docPr id="4" name="直接箭头连接符 4"/>
                <wp:cNvGraphicFramePr/>
                <a:graphic xmlns:a="http://schemas.openxmlformats.org/drawingml/2006/main">
                  <a:graphicData uri="http://schemas.microsoft.com/office/word/2010/wordprocessingShape">
                    <wps:wsp>
                      <wps:cNvCnPr/>
                      <wps:spPr>
                        <a:xfrm>
                          <a:off x="0" y="0"/>
                          <a:ext cx="5706745" cy="0"/>
                        </a:xfrm>
                        <a:prstGeom prst="straightConnector1">
                          <a:avLst/>
                        </a:prstGeom>
                        <a:ln w="9525" cap="flat" cmpd="sng">
                          <a:solidFill>
                            <a:srgbClr val="000000"/>
                          </a:solidFill>
                          <a:prstDash val="solid"/>
                          <a:round/>
                          <a:headEnd type="none" w="med" len="med"/>
                          <a:tailEnd type="none" w="med" len="med"/>
                        </a:ln>
                        <a:effectLst/>
                      </wps:spPr>
                      <wps:bodyPr/>
                    </wps:wsp>
                  </a:graphicData>
                </a:graphic>
              </wp:anchor>
            </w:drawing>
          </mc:Choice>
          <mc:Fallback>
            <w:pict>
              <v:shape id="_x0000_s1026" o:spid="_x0000_s1026" o:spt="32" type="#_x0000_t32" style="position:absolute;left:0pt;margin-left:-14.05pt;margin-top:0.95pt;height:0pt;width:449.35pt;z-index:251659264;mso-width-relative:page;mso-height-relative:page;" filled="f" stroked="t" coordsize="21600,21600" o:gfxdata="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b6kPtQAAAAHAQAADwAAAAAAAAABACAAAAAiAAAAZHJz&#10;L2Rvd25yZXYueG1sUEsBAhQAFAAAAAgAh07iQAMhkekIAgAABAQAAA4AAAAAAAAAAQAgAAAAIwEA&#10;AGRycy9lMm9Eb2MueG1sUEsFBgAAAAAGAAYAWQEAAJ0FAAAAAA==&#10;">
                <v:fill on="f" focussize="0,0"/>
                <v:stroke color="#000000" joinstyle="round"/>
                <v:imagedata o:title=""/>
                <o:lock v:ext="edit" aspectratio="f"/>
              </v:shape>
            </w:pict>
          </mc:Fallback>
        </mc:AlternateContent>
      </w:r>
      <w:r>
        <w:rPr>
          <w:rFonts w:hint="default" w:ascii="Times New Roman" w:hAnsi="Times New Roman" w:cs="Times New Roman"/>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-200025</wp:posOffset>
                </wp:positionH>
                <wp:positionV relativeFrom="paragraph">
                  <wp:posOffset>347345</wp:posOffset>
                </wp:positionV>
                <wp:extent cx="5706745" cy="0"/>
                <wp:effectExtent l="0" t="4445" r="0" b="5080"/>
                <wp:wrapNone/>
                <wp:docPr id="3" name="直接箭头连接符 3"/>
                <wp:cNvGraphicFramePr/>
                <a:graphic xmlns:a="http://schemas.openxmlformats.org/drawingml/2006/main">
                  <a:graphicData uri="http://schemas.microsoft.com/office/word/2010/wordprocessingShape">
                    <wps:wsp>
                      <wps:cNvCnPr/>
                      <wps:spPr>
                        <a:xfrm>
                          <a:off x="0" y="0"/>
                          <a:ext cx="5706745" cy="0"/>
                        </a:xfrm>
                        <a:prstGeom prst="straightConnector1">
                          <a:avLst/>
                        </a:prstGeom>
                        <a:ln w="9525" cap="flat" cmpd="sng">
                          <a:solidFill>
                            <a:srgbClr val="000000"/>
                          </a:solidFill>
                          <a:prstDash val="solid"/>
                          <a:round/>
                          <a:headEnd type="none" w="med" len="med"/>
                          <a:tailEnd type="none" w="med" len="med"/>
                        </a:ln>
                        <a:effectLst/>
                      </wps:spPr>
                      <wps:bodyPr/>
                    </wps:wsp>
                  </a:graphicData>
                </a:graphic>
              </wp:anchor>
            </w:drawing>
          </mc:Choice>
          <mc:Fallback>
            <w:pict>
              <v:shape id="_x0000_s1026" o:spid="_x0000_s1026" o:spt="32" type="#_x0000_t32" style="position:absolute;left:0pt;margin-left:-15.75pt;margin-top:27.35pt;height:0pt;width:449.35pt;z-index:251660288;mso-width-relative:page;mso-height-relative:page;" filled="f" stroked="t" coordsize="21600,21600" o:gfxdata="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nzRFbYAAAACQEAAA8AAAAAAAAAAQAgAAAAIgAA&#10;AGRycy9kb3ducmV2LnhtbFBLAQIUABQAAAAIAIdO4kC/2dG1CAIAAAQEAAAOAAAAAAAAAAEAIAAA&#10;ACcBAABkcnMvZTJvRG9jLnhtbFBLBQYAAAAABgAGAFkBAAChBQAAAAA=&#10;">
                <v:fill on="f" focussize="0,0"/>
                <v:stroke color="#000000" joinstyle="round"/>
                <v:imagedata o:title=""/>
                <o:lock v:ext="edit" aspectratio="f"/>
              </v:shape>
            </w:pict>
          </mc:Fallback>
        </mc:AlternateContent>
      </w:r>
      <w:r>
        <w:rPr>
          <w:rFonts w:hint="default" w:ascii="Times New Roman" w:hAnsi="Times New Roman" w:eastAsia="仿宋_GB2312" w:cs="Times New Roman"/>
          <w:bCs/>
          <w:color w:val="000000"/>
          <w:position w:val="11"/>
          <w:sz w:val="28"/>
          <w:szCs w:val="28"/>
        </w:rPr>
        <w:t>薛城区人民政府办公室</w:t>
      </w:r>
      <w:r>
        <w:rPr>
          <w:rFonts w:hint="default" w:ascii="Times New Roman" w:hAnsi="Times New Roman" w:eastAsia="仿宋_GB2312" w:cs="Times New Roman"/>
          <w:bCs/>
          <w:color w:val="000000"/>
          <w:position w:val="11"/>
          <w:sz w:val="28"/>
          <w:szCs w:val="28"/>
          <w:lang w:val="en-US" w:eastAsia="zh-CN"/>
        </w:rPr>
        <w:t xml:space="preserve">                    </w:t>
      </w:r>
      <w:r>
        <w:rPr>
          <w:rFonts w:hint="eastAsia" w:ascii="Times New Roman" w:hAnsi="Times New Roman" w:eastAsia="仿宋_GB2312" w:cs="Times New Roman"/>
          <w:bCs/>
          <w:color w:val="000000"/>
          <w:position w:val="11"/>
          <w:sz w:val="28"/>
          <w:szCs w:val="28"/>
          <w:lang w:val="en-US" w:eastAsia="zh-CN"/>
        </w:rPr>
        <w:t xml:space="preserve"> </w:t>
      </w:r>
      <w:r>
        <w:rPr>
          <w:rFonts w:hint="default" w:ascii="Times New Roman" w:hAnsi="Times New Roman" w:eastAsia="仿宋_GB2312" w:cs="Times New Roman"/>
          <w:bCs/>
          <w:color w:val="000000"/>
          <w:position w:val="11"/>
          <w:sz w:val="28"/>
          <w:szCs w:val="28"/>
        </w:rPr>
        <w:t>20</w:t>
      </w:r>
      <w:r>
        <w:rPr>
          <w:rFonts w:hint="default" w:ascii="Times New Roman" w:hAnsi="Times New Roman" w:eastAsia="仿宋_GB2312" w:cs="Times New Roman"/>
          <w:bCs/>
          <w:color w:val="000000"/>
          <w:position w:val="11"/>
          <w:sz w:val="28"/>
          <w:szCs w:val="28"/>
          <w:lang w:val="en-US" w:eastAsia="zh-CN"/>
        </w:rPr>
        <w:t>2</w:t>
      </w:r>
      <w:r>
        <w:rPr>
          <w:rFonts w:hint="eastAsia" w:eastAsia="仿宋_GB2312" w:cs="Times New Roman"/>
          <w:bCs/>
          <w:color w:val="000000"/>
          <w:position w:val="11"/>
          <w:sz w:val="28"/>
          <w:szCs w:val="28"/>
          <w:lang w:val="en-US" w:eastAsia="zh-CN"/>
        </w:rPr>
        <w:t>4</w:t>
      </w:r>
      <w:r>
        <w:rPr>
          <w:rFonts w:hint="default" w:ascii="Times New Roman" w:hAnsi="Times New Roman" w:eastAsia="仿宋_GB2312" w:cs="Times New Roman"/>
          <w:bCs/>
          <w:color w:val="000000"/>
          <w:position w:val="11"/>
          <w:sz w:val="28"/>
          <w:szCs w:val="28"/>
        </w:rPr>
        <w:t>年</w:t>
      </w:r>
      <w:r>
        <w:rPr>
          <w:rFonts w:hint="eastAsia" w:eastAsia="仿宋_GB2312" w:cs="Times New Roman"/>
          <w:bCs/>
          <w:color w:val="000000"/>
          <w:position w:val="11"/>
          <w:sz w:val="28"/>
          <w:szCs w:val="28"/>
          <w:lang w:val="en-US" w:eastAsia="zh-CN"/>
        </w:rPr>
        <w:t>8</w:t>
      </w:r>
      <w:r>
        <w:rPr>
          <w:rFonts w:hint="default" w:ascii="Times New Roman" w:hAnsi="Times New Roman" w:eastAsia="仿宋_GB2312" w:cs="Times New Roman"/>
          <w:bCs/>
          <w:color w:val="000000"/>
          <w:position w:val="11"/>
          <w:sz w:val="28"/>
          <w:szCs w:val="28"/>
        </w:rPr>
        <w:t>月</w:t>
      </w:r>
      <w:r>
        <w:rPr>
          <w:rFonts w:hint="eastAsia" w:eastAsia="仿宋_GB2312" w:cs="Times New Roman"/>
          <w:bCs/>
          <w:color w:val="000000"/>
          <w:position w:val="11"/>
          <w:sz w:val="28"/>
          <w:szCs w:val="28"/>
          <w:lang w:val="en-US" w:eastAsia="zh-CN"/>
        </w:rPr>
        <w:t>1</w:t>
      </w:r>
      <w:r>
        <w:rPr>
          <w:rFonts w:hint="default" w:ascii="Times New Roman" w:hAnsi="Times New Roman" w:eastAsia="仿宋_GB2312" w:cs="Times New Roman"/>
          <w:bCs/>
          <w:color w:val="000000"/>
          <w:position w:val="11"/>
          <w:sz w:val="28"/>
          <w:szCs w:val="28"/>
        </w:rPr>
        <w:t>日印发</w:t>
      </w:r>
    </w:p>
    <w:sectPr>
      <w:footerReference r:id="rId5" w:type="default"/>
      <w:pgSz w:w="11906" w:h="16838"/>
      <w:pgMar w:top="1701" w:right="1701" w:bottom="1701" w:left="1701" w:header="1134" w:footer="1134"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華康中明體">
    <w:altName w:val="Microsoft JhengHei"/>
    <w:panose1 w:val="00000000000000000000"/>
    <w:charset w:val="88"/>
    <w:family w:val="modern"/>
    <w:pitch w:val="default"/>
    <w:sig w:usb0="00000000" w:usb1="00000000" w:usb2="00000010" w:usb3="00000000" w:csb0="00100000" w:csb1="00000000"/>
  </w:font>
  <w:font w:name="方正小标宋简体">
    <w:panose1 w:val="02010601030101010101"/>
    <w:charset w:val="86"/>
    <w:family w:val="auto"/>
    <w:pitch w:val="default"/>
    <w:sig w:usb0="00000001" w:usb1="080E0000" w:usb2="00000000" w:usb3="00000000" w:csb0="00040000" w:csb1="00000000"/>
  </w:font>
  <w:font w:name="方正楷体_GB2312">
    <w:altName w:val="楷体_GB2312"/>
    <w:panose1 w:val="02000000000000000000"/>
    <w:charset w:val="86"/>
    <w:family w:val="auto"/>
    <w:pitch w:val="default"/>
    <w:sig w:usb0="00000000" w:usb1="00000000"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Microsoft JhengHei">
    <w:panose1 w:val="020B0604030504040204"/>
    <w:charset w:val="88"/>
    <w:family w:val="auto"/>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71347">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1A073F">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91A073F">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yOTgxNjViMDIwOTRmMTMxMzA1ZDgwYWE0NWVjODAifQ=="/>
  </w:docVars>
  <w:rsids>
    <w:rsidRoot w:val="6FA355E4"/>
    <w:rsid w:val="0C836AE1"/>
    <w:rsid w:val="0FDA4DE0"/>
    <w:rsid w:val="12CC1965"/>
    <w:rsid w:val="1D614FE0"/>
    <w:rsid w:val="28602734"/>
    <w:rsid w:val="28C627C9"/>
    <w:rsid w:val="29137F6E"/>
    <w:rsid w:val="341272D5"/>
    <w:rsid w:val="3EFB6EE5"/>
    <w:rsid w:val="57D529F3"/>
    <w:rsid w:val="58BF5186"/>
    <w:rsid w:val="5BCB73A7"/>
    <w:rsid w:val="61D90EB0"/>
    <w:rsid w:val="69A41DA4"/>
    <w:rsid w:val="6A901A98"/>
    <w:rsid w:val="6C8142FC"/>
    <w:rsid w:val="6EF72976"/>
    <w:rsid w:val="6FA355E4"/>
    <w:rsid w:val="74EB6AD9"/>
    <w:rsid w:val="7E6D7B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880" w:firstLineChars="200"/>
      <w:jc w:val="both"/>
    </w:pPr>
    <w:rPr>
      <w:rFonts w:ascii="Times New Roman" w:hAnsi="Times New Roman" w:eastAsia="仿宋_GB2312" w:cstheme="minorBidi"/>
      <w:kern w:val="2"/>
      <w:sz w:val="32"/>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Body Text First Indent 2"/>
    <w:basedOn w:val="4"/>
    <w:next w:val="1"/>
    <w:unhideWhenUsed/>
    <w:qFormat/>
    <w:uiPriority w:val="99"/>
    <w:pPr>
      <w:ind w:firstLine="420" w:firstLineChars="200"/>
    </w:pPr>
    <w:rPr>
      <w:rFonts w:cs="Times New Roman"/>
    </w:rPr>
  </w:style>
  <w:style w:type="paragraph" w:styleId="4">
    <w:name w:val="Body Text Indent"/>
    <w:basedOn w:val="1"/>
    <w:next w:val="5"/>
    <w:unhideWhenUsed/>
    <w:qFormat/>
    <w:uiPriority w:val="0"/>
    <w:pPr>
      <w:spacing w:beforeLines="0" w:after="120" w:afterLines="0"/>
      <w:ind w:left="420" w:leftChars="200"/>
    </w:pPr>
    <w:rPr>
      <w:rFonts w:hint="default"/>
      <w:sz w:val="21"/>
      <w:szCs w:val="24"/>
    </w:rPr>
  </w:style>
  <w:style w:type="paragraph" w:styleId="5">
    <w:name w:val="Normal Indent"/>
    <w:basedOn w:val="1"/>
    <w:next w:val="1"/>
    <w:unhideWhenUsed/>
    <w:qFormat/>
    <w:uiPriority w:val="99"/>
    <w:pPr>
      <w:ind w:firstLine="420" w:firstLineChars="200"/>
    </w:pPr>
  </w:style>
  <w:style w:type="paragraph" w:styleId="6">
    <w:name w:val="Plain Text"/>
    <w:basedOn w:val="1"/>
    <w:qFormat/>
    <w:uiPriority w:val="99"/>
    <w:pPr>
      <w:spacing w:after="0" w:line="320" w:lineRule="atLeast"/>
      <w:ind w:left="0"/>
    </w:pPr>
    <w:rPr>
      <w:rFonts w:ascii="華康中明體" w:hAnsi="Courier New" w:cs="華康中明體"/>
    </w:rPr>
  </w:style>
  <w:style w:type="paragraph" w:styleId="7">
    <w:name w:val="Body Text Indent 2"/>
    <w:basedOn w:val="1"/>
    <w:unhideWhenUsed/>
    <w:qFormat/>
    <w:uiPriority w:val="0"/>
    <w:pPr>
      <w:spacing w:after="120" w:line="480" w:lineRule="auto"/>
      <w:ind w:left="420" w:leftChars="200"/>
    </w:pPr>
    <w:rPr>
      <w:rFonts w:ascii="Times New Roman" w:hAnsi="Times New Roman" w:eastAsia="宋体" w:cs="Times New Roman"/>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A7D7AC"/>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3487</Words>
  <Characters>3522</Characters>
  <Lines>0</Lines>
  <Paragraphs>0</Paragraphs>
  <TotalTime>5</TotalTime>
  <ScaleCrop>false</ScaleCrop>
  <LinksUpToDate>false</LinksUpToDate>
  <CharactersWithSpaces>3661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2024-07-15T09:27:00Z</dcterms:created>
  <dc:creator>齐晓洁</dc:creator>
  <cp:lastModifiedBy>齐晓洁</cp:lastModifiedBy>
  <cp:lastPrinted>2024-07-29T06:24:00Z</cp:lastPrinted>
  <dcterms:modified xsi:type="dcterms:W3CDTF">2024-08-19T02:13:04Z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989885FDE8BD42F0B228A5EA8437D7CE_13</vt:lpwstr>
  </property>
</Properties>
</file>