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Lines w:val="0"/>
        <w:pageBreakBefore w:val="0"/>
        <w:numPr>
          <w:ilvl w:val="0"/>
          <w:numId w:val="0"/>
        </w:numPr>
        <w:spacing w:beforeLines="100" w:afterLines="100" w:line="480" w:lineRule="exact"/>
        <w:ind w:firstLine="3534" w:firstLineChars="1100"/>
        <w:jc w:val="both"/>
        <w:rPr>
          <w:rFonts w:ascii="宋体" w:hAnsi="宋体" w:eastAsia="宋体"/>
          <w:b/>
          <w:color w:val="FF0000"/>
          <w:spacing w:val="0"/>
          <w:szCs w:val="32"/>
        </w:rPr>
      </w:pPr>
    </w:p>
    <w:p>
      <w:pPr>
        <w:pStyle w:val="3"/>
        <w:keepLines w:val="0"/>
        <w:pageBreakBefore w:val="0"/>
        <w:numPr>
          <w:ilvl w:val="0"/>
          <w:numId w:val="0"/>
        </w:numPr>
        <w:spacing w:beforeLines="100" w:afterLines="100" w:line="480" w:lineRule="exact"/>
        <w:ind w:firstLine="3534" w:firstLineChars="1100"/>
        <w:jc w:val="both"/>
        <w:rPr>
          <w:rFonts w:ascii="宋体" w:hAnsi="宋体" w:eastAsia="宋体"/>
          <w:b/>
          <w:spacing w:val="0"/>
          <w:szCs w:val="32"/>
        </w:rPr>
      </w:pPr>
    </w:p>
    <w:p>
      <w:pPr>
        <w:pStyle w:val="6"/>
        <w:jc w:val="center"/>
        <w:rPr>
          <w:rFonts w:ascii="黑体" w:hAnsi="黑体" w:eastAsia="黑体"/>
          <w:b/>
          <w:bCs/>
          <w:sz w:val="36"/>
          <w:szCs w:val="36"/>
        </w:rPr>
      </w:pPr>
      <w:r>
        <w:rPr>
          <w:rFonts w:hint="eastAsia" w:eastAsia="黑体"/>
          <w:b/>
          <w:bCs/>
          <w:sz w:val="36"/>
          <w:szCs w:val="36"/>
        </w:rPr>
        <w:t>枣庄盛运生活垃圾焚烧热电联产项目</w:t>
      </w:r>
      <w:r>
        <w:rPr>
          <w:rFonts w:hint="eastAsia" w:ascii="黑体" w:hAnsi="黑体" w:eastAsia="黑体"/>
          <w:b/>
          <w:bCs/>
          <w:sz w:val="36"/>
          <w:szCs w:val="36"/>
        </w:rPr>
        <w:t>环境影响评价</w:t>
      </w:r>
    </w:p>
    <w:p>
      <w:pPr>
        <w:pStyle w:val="6"/>
        <w:jc w:val="center"/>
        <w:rPr>
          <w:b/>
          <w:bCs/>
          <w:sz w:val="36"/>
          <w:szCs w:val="36"/>
        </w:rPr>
      </w:pPr>
    </w:p>
    <w:p>
      <w:pPr>
        <w:pStyle w:val="6"/>
        <w:jc w:val="center"/>
        <w:rPr>
          <w:rFonts w:ascii="宋体" w:hAnsi="宋体"/>
          <w:b/>
          <w:sz w:val="48"/>
          <w:szCs w:val="48"/>
        </w:rPr>
      </w:pPr>
      <w:r>
        <w:rPr>
          <w:rFonts w:hint="eastAsia" w:ascii="宋体" w:hAnsi="宋体"/>
          <w:b/>
          <w:sz w:val="48"/>
          <w:szCs w:val="48"/>
        </w:rPr>
        <w:t>公众参与说明</w:t>
      </w:r>
    </w:p>
    <w:p>
      <w:pPr>
        <w:pStyle w:val="3"/>
        <w:keepLines w:val="0"/>
        <w:pageBreakBefore w:val="0"/>
        <w:numPr>
          <w:ilvl w:val="0"/>
          <w:numId w:val="0"/>
        </w:numPr>
        <w:spacing w:beforeLines="100" w:afterLines="100" w:line="480" w:lineRule="exact"/>
        <w:ind w:firstLine="3534" w:firstLineChars="1100"/>
        <w:jc w:val="both"/>
        <w:rPr>
          <w:rFonts w:ascii="宋体" w:hAnsi="宋体" w:eastAsia="宋体"/>
          <w:b/>
          <w:spacing w:val="0"/>
          <w:szCs w:val="32"/>
        </w:rPr>
      </w:pPr>
    </w:p>
    <w:p>
      <w:pPr>
        <w:pStyle w:val="3"/>
        <w:keepLines w:val="0"/>
        <w:pageBreakBefore w:val="0"/>
        <w:numPr>
          <w:ilvl w:val="0"/>
          <w:numId w:val="0"/>
        </w:numPr>
        <w:spacing w:beforeLines="100" w:afterLines="100" w:line="480" w:lineRule="exact"/>
        <w:ind w:firstLine="3534" w:firstLineChars="1100"/>
        <w:jc w:val="both"/>
        <w:rPr>
          <w:rFonts w:ascii="宋体" w:hAnsi="宋体" w:eastAsia="宋体"/>
          <w:b/>
          <w:spacing w:val="0"/>
          <w:szCs w:val="32"/>
        </w:rPr>
      </w:pPr>
    </w:p>
    <w:p/>
    <w:p/>
    <w:p/>
    <w:p/>
    <w:p/>
    <w:p/>
    <w:p/>
    <w:p/>
    <w:p/>
    <w:p/>
    <w:p/>
    <w:p/>
    <w:p>
      <w:pPr>
        <w:pStyle w:val="3"/>
        <w:keepLines w:val="0"/>
        <w:pageBreakBefore w:val="0"/>
        <w:numPr>
          <w:ilvl w:val="0"/>
          <w:numId w:val="0"/>
        </w:numPr>
        <w:spacing w:beforeLines="100" w:afterLines="100" w:line="480" w:lineRule="exact"/>
        <w:jc w:val="both"/>
        <w:rPr>
          <w:rFonts w:ascii="宋体" w:hAnsi="宋体" w:eastAsia="宋体"/>
          <w:b/>
          <w:spacing w:val="0"/>
          <w:szCs w:val="32"/>
        </w:rPr>
      </w:pPr>
    </w:p>
    <w:p>
      <w:pPr>
        <w:pStyle w:val="3"/>
        <w:keepLines w:val="0"/>
        <w:pageBreakBefore w:val="0"/>
        <w:numPr>
          <w:ilvl w:val="0"/>
          <w:numId w:val="0"/>
        </w:numPr>
        <w:spacing w:beforeLines="100" w:afterLines="100" w:line="480" w:lineRule="exact"/>
        <w:ind w:firstLine="3534" w:firstLineChars="1100"/>
        <w:jc w:val="both"/>
        <w:rPr>
          <w:rFonts w:ascii="宋体" w:hAnsi="宋体" w:eastAsia="宋体"/>
          <w:b/>
          <w:spacing w:val="0"/>
          <w:szCs w:val="32"/>
        </w:rPr>
      </w:pPr>
    </w:p>
    <w:p>
      <w:pPr>
        <w:pStyle w:val="3"/>
        <w:keepLines w:val="0"/>
        <w:pageBreakBefore w:val="0"/>
        <w:numPr>
          <w:ilvl w:val="0"/>
          <w:numId w:val="0"/>
        </w:numPr>
        <w:spacing w:beforeLines="100" w:afterLines="100" w:line="480" w:lineRule="exact"/>
        <w:rPr>
          <w:rFonts w:ascii="宋体" w:hAnsi="宋体" w:eastAsia="宋体"/>
          <w:b/>
          <w:spacing w:val="0"/>
          <w:szCs w:val="32"/>
        </w:rPr>
      </w:pPr>
      <w:r>
        <w:rPr>
          <w:rFonts w:hint="eastAsia" w:ascii="宋体" w:hAnsi="宋体" w:eastAsia="宋体"/>
          <w:b/>
          <w:spacing w:val="0"/>
          <w:szCs w:val="32"/>
        </w:rPr>
        <w:t>编制单位：枣庄中科环保电力有限公司</w:t>
      </w:r>
    </w:p>
    <w:p>
      <w:pPr>
        <w:pStyle w:val="3"/>
        <w:keepLines w:val="0"/>
        <w:pageBreakBefore w:val="0"/>
        <w:numPr>
          <w:ilvl w:val="0"/>
          <w:numId w:val="0"/>
        </w:numPr>
        <w:spacing w:beforeLines="100" w:afterLines="100" w:line="480" w:lineRule="exact"/>
        <w:ind w:left="559" w:leftChars="266" w:firstLine="3052" w:firstLineChars="950"/>
        <w:jc w:val="both"/>
        <w:rPr>
          <w:rFonts w:eastAsia="宋体"/>
          <w:b/>
          <w:spacing w:val="0"/>
          <w:szCs w:val="32"/>
        </w:rPr>
      </w:pPr>
      <w:r>
        <w:rPr>
          <w:rFonts w:hint="eastAsia" w:hAnsi="宋体" w:eastAsia="宋体"/>
          <w:b/>
          <w:spacing w:val="0"/>
          <w:szCs w:val="32"/>
        </w:rPr>
        <w:t>二</w:t>
      </w:r>
      <w:r>
        <w:rPr>
          <w:rFonts w:hint="eastAsia" w:eastAsia="宋体"/>
          <w:b/>
          <w:spacing w:val="0"/>
          <w:szCs w:val="32"/>
        </w:rPr>
        <w:t>〇</w:t>
      </w:r>
      <w:r>
        <w:rPr>
          <w:rFonts w:hint="eastAsia" w:hAnsi="宋体" w:eastAsia="宋体"/>
          <w:b/>
          <w:spacing w:val="0"/>
          <w:szCs w:val="32"/>
        </w:rPr>
        <w:t>二零年</w:t>
      </w:r>
      <w:r>
        <w:rPr>
          <w:rFonts w:hint="eastAsia" w:hAnsi="宋体" w:eastAsia="宋体"/>
          <w:b/>
          <w:spacing w:val="0"/>
          <w:szCs w:val="32"/>
          <w:lang w:val="en-US" w:eastAsia="zh-CN"/>
        </w:rPr>
        <w:t>四</w:t>
      </w:r>
      <w:r>
        <w:rPr>
          <w:rFonts w:hint="eastAsia" w:hAnsi="宋体" w:eastAsia="宋体"/>
          <w:b/>
          <w:spacing w:val="0"/>
          <w:szCs w:val="32"/>
        </w:rPr>
        <w:t>月</w:t>
      </w:r>
    </w:p>
    <w:p>
      <w:pPr>
        <w:keepNext/>
        <w:keepLines/>
        <w:tabs>
          <w:tab w:val="left" w:pos="432"/>
        </w:tabs>
        <w:autoSpaceDN w:val="0"/>
        <w:spacing w:line="360" w:lineRule="auto"/>
        <w:outlineLvl w:val="0"/>
        <w:rPr>
          <w:b/>
          <w:bCs/>
          <w:kern w:val="44"/>
          <w:sz w:val="32"/>
          <w:szCs w:val="32"/>
        </w:rPr>
      </w:pPr>
      <w:r>
        <w:rPr>
          <w:rFonts w:hint="eastAsia"/>
          <w:b/>
          <w:bCs/>
          <w:kern w:val="44"/>
          <w:sz w:val="32"/>
          <w:szCs w:val="32"/>
        </w:rPr>
        <w:t>1 概述</w:t>
      </w:r>
    </w:p>
    <w:p>
      <w:pPr>
        <w:spacing w:line="360" w:lineRule="auto"/>
        <w:ind w:firstLine="480" w:firstLineChars="200"/>
        <w:rPr>
          <w:sz w:val="24"/>
        </w:rPr>
      </w:pPr>
      <w:r>
        <w:rPr>
          <w:rFonts w:hint="eastAsia"/>
          <w:sz w:val="24"/>
        </w:rPr>
        <w:t>国务院第</w:t>
      </w:r>
      <w:r>
        <w:rPr>
          <w:sz w:val="24"/>
        </w:rPr>
        <w:t>253</w:t>
      </w:r>
      <w:r>
        <w:rPr>
          <w:rFonts w:hint="eastAsia"/>
          <w:sz w:val="24"/>
        </w:rPr>
        <w:t>号令《建设项目环境保护管理条例》（</w:t>
      </w:r>
      <w:r>
        <w:rPr>
          <w:sz w:val="24"/>
        </w:rPr>
        <w:t>1998.11</w:t>
      </w:r>
      <w:r>
        <w:rPr>
          <w:rFonts w:hint="eastAsia"/>
          <w:sz w:val="24"/>
        </w:rPr>
        <w:t>）第十五条规定：建设单位编制环境影响报告书，应当依据有关法规规定，征求建设项目所在地单位和居民的意见。《环境影响评价法》中也提出了公众参与的具体要求。</w:t>
      </w:r>
      <w:r>
        <w:rPr>
          <w:sz w:val="24"/>
        </w:rPr>
        <w:t>2018年4月16日生态环境部</w:t>
      </w:r>
      <w:r>
        <w:rPr>
          <w:rFonts w:hint="eastAsia"/>
          <w:sz w:val="24"/>
        </w:rPr>
        <w:t>发布了</w:t>
      </w:r>
      <w:r>
        <w:rPr>
          <w:sz w:val="24"/>
        </w:rPr>
        <w:t>《环境影响评价公众参与办法》</w:t>
      </w:r>
      <w:r>
        <w:rPr>
          <w:rFonts w:hint="eastAsia"/>
          <w:sz w:val="24"/>
        </w:rPr>
        <w:t>，该办法</w:t>
      </w:r>
      <w:r>
        <w:rPr>
          <w:sz w:val="24"/>
        </w:rPr>
        <w:t>自2019年1月1日起施行</w:t>
      </w:r>
      <w:r>
        <w:rPr>
          <w:rFonts w:hint="eastAsia"/>
          <w:sz w:val="24"/>
        </w:rPr>
        <w:t>，要求</w:t>
      </w:r>
      <w:r>
        <w:rPr>
          <w:sz w:val="24"/>
        </w:rPr>
        <w:t>建设单位应当依法听取环境影响评价范围内的公民、法人和其他组织的意见，鼓励建设单位听取环境影响评价范围之外的公民、法人和其他组织的意见。</w:t>
      </w:r>
    </w:p>
    <w:p>
      <w:pPr>
        <w:spacing w:line="360" w:lineRule="auto"/>
        <w:ind w:firstLine="480" w:firstLineChars="200"/>
        <w:rPr>
          <w:sz w:val="24"/>
        </w:rPr>
      </w:pPr>
      <w:r>
        <w:rPr>
          <w:rFonts w:hint="eastAsia"/>
          <w:sz w:val="24"/>
        </w:rPr>
        <w:t>因此本项目环评期间，我公司进行了广泛的公众参与调查。</w:t>
      </w:r>
    </w:p>
    <w:p>
      <w:pPr>
        <w:keepNext/>
        <w:tabs>
          <w:tab w:val="left" w:pos="420"/>
          <w:tab w:val="left" w:pos="576"/>
          <w:tab w:val="left" w:pos="3150"/>
        </w:tabs>
        <w:spacing w:line="360" w:lineRule="auto"/>
        <w:outlineLvl w:val="1"/>
        <w:rPr>
          <w:rFonts w:eastAsia="黑体"/>
          <w:iCs/>
          <w:sz w:val="28"/>
          <w:szCs w:val="28"/>
        </w:rPr>
      </w:pPr>
      <w:r>
        <w:rPr>
          <w:rFonts w:hint="eastAsia" w:eastAsia="黑体"/>
          <w:iCs/>
          <w:sz w:val="28"/>
          <w:szCs w:val="28"/>
        </w:rPr>
        <w:t>1.1 公众参与的目的</w:t>
      </w:r>
    </w:p>
    <w:p>
      <w:pPr>
        <w:snapToGrid w:val="0"/>
        <w:spacing w:line="460" w:lineRule="exact"/>
        <w:ind w:firstLine="480" w:firstLineChars="200"/>
        <w:jc w:val="left"/>
        <w:rPr>
          <w:sz w:val="24"/>
        </w:rPr>
      </w:pPr>
      <w:r>
        <w:rPr>
          <w:rFonts w:hint="eastAsia"/>
          <w:sz w:val="24"/>
        </w:rPr>
        <w:t>公众参与是建设项目通过环评工作与公众之间进行的双向交流，其目的是让公众对本工程充分了解，给公众以表达他们意见的机会。通过公众的参与，辨析公众关注的问题，有利于化解不同矛盾，制定合理的环保措施，使建设项目能被公众充分认可，更有效地提高项目的环境和长远效益。</w:t>
      </w:r>
    </w:p>
    <w:p>
      <w:pPr>
        <w:keepNext/>
        <w:tabs>
          <w:tab w:val="left" w:pos="420"/>
          <w:tab w:val="left" w:pos="576"/>
          <w:tab w:val="left" w:pos="3150"/>
        </w:tabs>
        <w:spacing w:line="360" w:lineRule="auto"/>
        <w:outlineLvl w:val="1"/>
        <w:rPr>
          <w:rFonts w:eastAsia="黑体"/>
          <w:iCs/>
          <w:sz w:val="28"/>
          <w:szCs w:val="28"/>
        </w:rPr>
      </w:pPr>
      <w:r>
        <w:rPr>
          <w:rFonts w:hint="eastAsia" w:eastAsia="黑体"/>
          <w:iCs/>
          <w:sz w:val="28"/>
          <w:szCs w:val="28"/>
        </w:rPr>
        <w:t>1.2 公众参与的方式</w:t>
      </w:r>
    </w:p>
    <w:p>
      <w:pPr>
        <w:pStyle w:val="2"/>
        <w:spacing w:line="460" w:lineRule="exact"/>
        <w:ind w:firstLine="480" w:firstLineChars="200"/>
        <w:rPr>
          <w:rFonts w:ascii="Times New Roman" w:hAnsi="Times New Roman" w:cs="Times New Roman"/>
          <w:bCs/>
        </w:rPr>
      </w:pPr>
      <w:r>
        <w:rPr>
          <w:rFonts w:hint="eastAsia" w:ascii="Times New Roman" w:hAnsi="Times New Roman" w:cs="Times New Roman"/>
          <w:bCs/>
        </w:rPr>
        <w:t>公众参与调查方式详见表</w:t>
      </w:r>
      <w:r>
        <w:rPr>
          <w:rFonts w:ascii="Times New Roman" w:hAnsi="Times New Roman" w:cs="Times New Roman"/>
          <w:bCs/>
        </w:rPr>
        <w:t>1.</w:t>
      </w:r>
      <w:r>
        <w:rPr>
          <w:rFonts w:hint="eastAsia" w:ascii="Times New Roman" w:hAnsi="Times New Roman" w:cs="Times New Roman"/>
          <w:bCs/>
        </w:rPr>
        <w:t>2</w:t>
      </w:r>
      <w:r>
        <w:rPr>
          <w:rFonts w:ascii="Times New Roman" w:hAnsi="Times New Roman" w:cs="Times New Roman"/>
          <w:bCs/>
        </w:rPr>
        <w:t>-1</w:t>
      </w:r>
      <w:r>
        <w:rPr>
          <w:rFonts w:hint="eastAsia" w:ascii="Times New Roman" w:hAnsi="Times New Roman" w:cs="Times New Roman"/>
          <w:bCs/>
        </w:rPr>
        <w:t>。</w:t>
      </w:r>
    </w:p>
    <w:p>
      <w:pPr>
        <w:spacing w:line="460" w:lineRule="exact"/>
        <w:jc w:val="center"/>
        <w:rPr>
          <w:rFonts w:eastAsia="黑体"/>
          <w:sz w:val="28"/>
          <w:szCs w:val="28"/>
        </w:rPr>
      </w:pPr>
      <w:r>
        <w:rPr>
          <w:rFonts w:hint="eastAsia" w:eastAsia="黑体"/>
          <w:bCs/>
          <w:sz w:val="24"/>
        </w:rPr>
        <w:t>表</w:t>
      </w:r>
      <w:r>
        <w:rPr>
          <w:rFonts w:eastAsia="黑体"/>
          <w:bCs/>
          <w:sz w:val="24"/>
        </w:rPr>
        <w:t>1</w:t>
      </w:r>
      <w:r>
        <w:rPr>
          <w:rFonts w:hint="eastAsia" w:eastAsia="黑体"/>
          <w:bCs/>
          <w:sz w:val="24"/>
        </w:rPr>
        <w:t>.2</w:t>
      </w:r>
      <w:r>
        <w:rPr>
          <w:rFonts w:eastAsia="黑体"/>
          <w:bCs/>
          <w:sz w:val="24"/>
        </w:rPr>
        <w:t xml:space="preserve">-1  </w:t>
      </w:r>
      <w:r>
        <w:rPr>
          <w:rFonts w:hint="eastAsia" w:eastAsia="黑体"/>
          <w:bCs/>
          <w:sz w:val="24"/>
        </w:rPr>
        <w:t>公众参与调查情况</w:t>
      </w:r>
    </w:p>
    <w:tbl>
      <w:tblPr>
        <w:tblStyle w:val="11"/>
        <w:tblW w:w="83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05"/>
        <w:gridCol w:w="375"/>
        <w:gridCol w:w="660"/>
        <w:gridCol w:w="2419"/>
        <w:gridCol w:w="1151"/>
        <w:gridCol w:w="2100"/>
        <w:gridCol w:w="12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01" w:hRule="atLeast"/>
          <w:jc w:val="center"/>
        </w:trPr>
        <w:tc>
          <w:tcPr>
            <w:tcW w:w="1440" w:type="dxa"/>
            <w:gridSpan w:val="3"/>
            <w:tcBorders>
              <w:top w:val="single" w:color="auto" w:sz="12" w:space="0"/>
              <w:left w:val="single" w:color="auto" w:sz="12" w:space="0"/>
              <w:bottom w:val="single" w:color="auto" w:sz="4" w:space="0"/>
              <w:right w:val="single" w:color="auto" w:sz="4" w:space="0"/>
            </w:tcBorders>
            <w:vAlign w:val="center"/>
          </w:tcPr>
          <w:p>
            <w:pPr>
              <w:snapToGrid w:val="0"/>
              <w:spacing w:line="240" w:lineRule="exact"/>
              <w:jc w:val="center"/>
              <w:rPr>
                <w:b/>
                <w:sz w:val="28"/>
                <w:szCs w:val="28"/>
              </w:rPr>
            </w:pPr>
            <w:r>
              <w:rPr>
                <w:rFonts w:hint="eastAsia"/>
                <w:b/>
                <w:sz w:val="28"/>
                <w:szCs w:val="28"/>
              </w:rPr>
              <w:t>方式</w:t>
            </w:r>
          </w:p>
        </w:tc>
        <w:tc>
          <w:tcPr>
            <w:tcW w:w="2419" w:type="dxa"/>
            <w:tcBorders>
              <w:top w:val="single" w:color="auto" w:sz="12" w:space="0"/>
              <w:left w:val="single" w:color="auto" w:sz="4" w:space="0"/>
              <w:bottom w:val="single" w:color="auto" w:sz="4" w:space="0"/>
              <w:right w:val="single" w:color="auto" w:sz="4" w:space="0"/>
            </w:tcBorders>
            <w:vAlign w:val="center"/>
          </w:tcPr>
          <w:p>
            <w:pPr>
              <w:snapToGrid w:val="0"/>
              <w:spacing w:line="240" w:lineRule="exact"/>
              <w:jc w:val="center"/>
              <w:rPr>
                <w:b/>
                <w:sz w:val="28"/>
                <w:szCs w:val="28"/>
              </w:rPr>
            </w:pPr>
            <w:r>
              <w:rPr>
                <w:rFonts w:hint="eastAsia"/>
                <w:b/>
                <w:sz w:val="28"/>
                <w:szCs w:val="28"/>
              </w:rPr>
              <w:t>时间</w:t>
            </w:r>
          </w:p>
        </w:tc>
        <w:tc>
          <w:tcPr>
            <w:tcW w:w="1151" w:type="dxa"/>
            <w:tcBorders>
              <w:top w:val="single" w:color="auto" w:sz="12" w:space="0"/>
              <w:left w:val="single" w:color="auto" w:sz="4" w:space="0"/>
              <w:bottom w:val="single" w:color="auto" w:sz="4" w:space="0"/>
              <w:right w:val="single" w:color="auto" w:sz="4" w:space="0"/>
            </w:tcBorders>
            <w:vAlign w:val="center"/>
          </w:tcPr>
          <w:p>
            <w:pPr>
              <w:snapToGrid w:val="0"/>
              <w:spacing w:line="240" w:lineRule="exact"/>
              <w:jc w:val="center"/>
              <w:rPr>
                <w:b/>
                <w:sz w:val="28"/>
                <w:szCs w:val="28"/>
              </w:rPr>
            </w:pPr>
            <w:r>
              <w:rPr>
                <w:rFonts w:hint="eastAsia"/>
                <w:b/>
                <w:sz w:val="28"/>
                <w:szCs w:val="28"/>
              </w:rPr>
              <w:t>活动对象</w:t>
            </w:r>
          </w:p>
        </w:tc>
        <w:tc>
          <w:tcPr>
            <w:tcW w:w="2100" w:type="dxa"/>
            <w:tcBorders>
              <w:top w:val="single" w:color="auto" w:sz="12" w:space="0"/>
              <w:left w:val="single" w:color="auto" w:sz="4" w:space="0"/>
              <w:bottom w:val="single" w:color="auto" w:sz="4" w:space="0"/>
              <w:right w:val="single" w:color="auto" w:sz="4" w:space="0"/>
            </w:tcBorders>
            <w:vAlign w:val="center"/>
          </w:tcPr>
          <w:p>
            <w:pPr>
              <w:snapToGrid w:val="0"/>
              <w:spacing w:line="240" w:lineRule="exact"/>
              <w:jc w:val="center"/>
              <w:rPr>
                <w:b/>
                <w:sz w:val="28"/>
                <w:szCs w:val="28"/>
              </w:rPr>
            </w:pPr>
            <w:r>
              <w:rPr>
                <w:rFonts w:hint="eastAsia"/>
                <w:b/>
                <w:sz w:val="28"/>
                <w:szCs w:val="28"/>
              </w:rPr>
              <w:t>地</w:t>
            </w:r>
            <w:r>
              <w:rPr>
                <w:b/>
                <w:sz w:val="28"/>
                <w:szCs w:val="28"/>
              </w:rPr>
              <w:t xml:space="preserve"> </w:t>
            </w:r>
            <w:r>
              <w:rPr>
                <w:rFonts w:hint="eastAsia"/>
                <w:b/>
                <w:sz w:val="28"/>
                <w:szCs w:val="28"/>
              </w:rPr>
              <w:t>点</w:t>
            </w:r>
          </w:p>
        </w:tc>
        <w:tc>
          <w:tcPr>
            <w:tcW w:w="1252" w:type="dxa"/>
            <w:tcBorders>
              <w:top w:val="single" w:color="auto" w:sz="12" w:space="0"/>
              <w:left w:val="single" w:color="auto" w:sz="4" w:space="0"/>
              <w:bottom w:val="single" w:color="auto" w:sz="4" w:space="0"/>
              <w:right w:val="single" w:color="auto" w:sz="12" w:space="0"/>
            </w:tcBorders>
            <w:vAlign w:val="center"/>
          </w:tcPr>
          <w:p>
            <w:pPr>
              <w:snapToGrid w:val="0"/>
              <w:spacing w:line="240" w:lineRule="exact"/>
              <w:jc w:val="center"/>
              <w:rPr>
                <w:b/>
                <w:sz w:val="28"/>
                <w:szCs w:val="28"/>
              </w:rPr>
            </w:pPr>
            <w:r>
              <w:rPr>
                <w:rFonts w:hint="eastAsia"/>
                <w:b/>
                <w:sz w:val="28"/>
                <w:szCs w:val="28"/>
              </w:rPr>
              <w:t>主持单位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55" w:hRule="atLeast"/>
          <w:jc w:val="center"/>
        </w:trPr>
        <w:tc>
          <w:tcPr>
            <w:tcW w:w="405" w:type="dxa"/>
            <w:vMerge w:val="restart"/>
            <w:tcBorders>
              <w:top w:val="single" w:color="auto" w:sz="4" w:space="0"/>
              <w:left w:val="single" w:color="auto" w:sz="12" w:space="0"/>
              <w:bottom w:val="single" w:color="auto" w:sz="4" w:space="0"/>
              <w:right w:val="single" w:color="auto" w:sz="4" w:space="0"/>
            </w:tcBorders>
            <w:vAlign w:val="center"/>
          </w:tcPr>
          <w:p>
            <w:pPr>
              <w:snapToGrid w:val="0"/>
              <w:spacing w:line="240" w:lineRule="exact"/>
              <w:jc w:val="center"/>
              <w:rPr>
                <w:sz w:val="24"/>
              </w:rPr>
            </w:pPr>
            <w:r>
              <w:rPr>
                <w:rFonts w:hint="eastAsia"/>
                <w:sz w:val="24"/>
              </w:rPr>
              <w:t>信息</w:t>
            </w:r>
          </w:p>
          <w:p>
            <w:pPr>
              <w:snapToGrid w:val="0"/>
              <w:spacing w:line="240" w:lineRule="exact"/>
              <w:jc w:val="center"/>
              <w:rPr>
                <w:sz w:val="24"/>
              </w:rPr>
            </w:pPr>
            <w:r>
              <w:rPr>
                <w:rFonts w:hint="eastAsia"/>
                <w:sz w:val="24"/>
              </w:rPr>
              <w:t>公开</w:t>
            </w:r>
          </w:p>
        </w:tc>
        <w:tc>
          <w:tcPr>
            <w:tcW w:w="375" w:type="dxa"/>
            <w:tcBorders>
              <w:top w:val="single" w:color="auto" w:sz="4" w:space="0"/>
              <w:left w:val="single" w:color="auto" w:sz="4" w:space="0"/>
              <w:right w:val="single" w:color="auto" w:sz="4" w:space="0"/>
            </w:tcBorders>
            <w:vAlign w:val="center"/>
          </w:tcPr>
          <w:p>
            <w:pPr>
              <w:snapToGrid w:val="0"/>
              <w:spacing w:line="240" w:lineRule="exact"/>
              <w:jc w:val="center"/>
              <w:rPr>
                <w:sz w:val="24"/>
              </w:rPr>
            </w:pPr>
            <w:r>
              <w:rPr>
                <w:rFonts w:hint="eastAsia"/>
                <w:sz w:val="24"/>
              </w:rPr>
              <w:t>一次公示</w:t>
            </w:r>
          </w:p>
        </w:tc>
        <w:tc>
          <w:tcPr>
            <w:tcW w:w="66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sz w:val="24"/>
              </w:rPr>
            </w:pPr>
            <w:r>
              <w:rPr>
                <w:rFonts w:hint="eastAsia"/>
                <w:sz w:val="24"/>
              </w:rPr>
              <w:t>网上</w:t>
            </w:r>
          </w:p>
          <w:p>
            <w:pPr>
              <w:snapToGrid w:val="0"/>
              <w:spacing w:line="240" w:lineRule="exact"/>
              <w:jc w:val="center"/>
              <w:rPr>
                <w:sz w:val="24"/>
              </w:rPr>
            </w:pPr>
            <w:r>
              <w:rPr>
                <w:rFonts w:hint="eastAsia"/>
                <w:sz w:val="24"/>
              </w:rPr>
              <w:t>公示</w:t>
            </w:r>
          </w:p>
        </w:tc>
        <w:tc>
          <w:tcPr>
            <w:tcW w:w="2419"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宋体" w:hAnsi="宋体" w:eastAsia="宋体" w:cs="宋体"/>
                <w:sz w:val="24"/>
              </w:rPr>
            </w:pPr>
            <w:r>
              <w:rPr>
                <w:rFonts w:hint="eastAsia" w:ascii="宋体" w:hAnsi="宋体" w:eastAsia="宋体" w:cs="宋体"/>
                <w:sz w:val="24"/>
              </w:rPr>
              <w:t>2019.12.20</w:t>
            </w:r>
          </w:p>
        </w:tc>
        <w:tc>
          <w:tcPr>
            <w:tcW w:w="1151" w:type="dxa"/>
            <w:vMerge w:val="restart"/>
            <w:tcBorders>
              <w:top w:val="single" w:color="auto" w:sz="4" w:space="0"/>
              <w:left w:val="single" w:color="auto" w:sz="4" w:space="0"/>
              <w:right w:val="single" w:color="auto" w:sz="4" w:space="0"/>
            </w:tcBorders>
            <w:vAlign w:val="center"/>
          </w:tcPr>
          <w:p>
            <w:pPr>
              <w:snapToGrid w:val="0"/>
              <w:spacing w:line="240" w:lineRule="exact"/>
              <w:jc w:val="center"/>
              <w:rPr>
                <w:sz w:val="24"/>
              </w:rPr>
            </w:pPr>
            <w:r>
              <w:rPr>
                <w:rFonts w:hint="eastAsia"/>
                <w:sz w:val="24"/>
              </w:rPr>
              <w:t>厂址周围居民及关心本项目的公众</w:t>
            </w:r>
          </w:p>
        </w:tc>
        <w:tc>
          <w:tcPr>
            <w:tcW w:w="210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sz w:val="24"/>
              </w:rPr>
            </w:pPr>
            <w:r>
              <w:rPr>
                <w:rFonts w:hint="eastAsia"/>
                <w:sz w:val="24"/>
              </w:rPr>
              <w:t>网络平台</w:t>
            </w:r>
          </w:p>
        </w:tc>
        <w:tc>
          <w:tcPr>
            <w:tcW w:w="1252" w:type="dxa"/>
            <w:vMerge w:val="restart"/>
            <w:tcBorders>
              <w:top w:val="single" w:color="auto" w:sz="4" w:space="0"/>
              <w:left w:val="single" w:color="auto" w:sz="4" w:space="0"/>
              <w:bottom w:val="single" w:color="auto" w:sz="12" w:space="0"/>
              <w:right w:val="single" w:color="auto" w:sz="12" w:space="0"/>
            </w:tcBorders>
            <w:vAlign w:val="center"/>
          </w:tcPr>
          <w:p>
            <w:pPr>
              <w:snapToGrid w:val="0"/>
              <w:spacing w:line="240" w:lineRule="exact"/>
              <w:jc w:val="center"/>
              <w:rPr>
                <w:kern w:val="0"/>
                <w:sz w:val="18"/>
                <w:szCs w:val="18"/>
              </w:rPr>
            </w:pPr>
            <w:r>
              <w:rPr>
                <w:rFonts w:hint="eastAsia"/>
                <w:kern w:val="0"/>
                <w:sz w:val="24"/>
              </w:rPr>
              <w:t>枣庄中科环保电力有限公司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47" w:hRule="atLeast"/>
          <w:jc w:val="center"/>
        </w:trPr>
        <w:tc>
          <w:tcPr>
            <w:tcW w:w="405"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sz w:val="24"/>
              </w:rPr>
            </w:pPr>
          </w:p>
        </w:tc>
        <w:tc>
          <w:tcPr>
            <w:tcW w:w="37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sz w:val="24"/>
              </w:rPr>
            </w:pPr>
            <w:r>
              <w:rPr>
                <w:rFonts w:hint="eastAsia"/>
                <w:sz w:val="24"/>
              </w:rPr>
              <w:t>二次</w:t>
            </w:r>
          </w:p>
          <w:p>
            <w:pPr>
              <w:snapToGrid w:val="0"/>
              <w:spacing w:line="240" w:lineRule="exact"/>
              <w:jc w:val="center"/>
              <w:rPr>
                <w:sz w:val="24"/>
              </w:rPr>
            </w:pPr>
            <w:r>
              <w:rPr>
                <w:rFonts w:hint="eastAsia"/>
                <w:sz w:val="24"/>
              </w:rPr>
              <w:t>公示</w:t>
            </w:r>
          </w:p>
        </w:tc>
        <w:tc>
          <w:tcPr>
            <w:tcW w:w="66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sz w:val="24"/>
              </w:rPr>
            </w:pPr>
            <w:r>
              <w:rPr>
                <w:rFonts w:hint="eastAsia"/>
                <w:sz w:val="24"/>
              </w:rPr>
              <w:t>网上</w:t>
            </w:r>
          </w:p>
          <w:p>
            <w:pPr>
              <w:snapToGrid w:val="0"/>
              <w:spacing w:line="240" w:lineRule="exact"/>
              <w:jc w:val="center"/>
              <w:rPr>
                <w:sz w:val="24"/>
              </w:rPr>
            </w:pPr>
            <w:r>
              <w:rPr>
                <w:rFonts w:hint="eastAsia"/>
                <w:sz w:val="24"/>
              </w:rPr>
              <w:t>报纸</w:t>
            </w:r>
          </w:p>
          <w:p>
            <w:pPr>
              <w:snapToGrid w:val="0"/>
              <w:spacing w:line="240" w:lineRule="exact"/>
              <w:jc w:val="center"/>
              <w:rPr>
                <w:bCs/>
                <w:sz w:val="24"/>
              </w:rPr>
            </w:pPr>
            <w:r>
              <w:rPr>
                <w:rFonts w:hint="eastAsia"/>
                <w:sz w:val="24"/>
              </w:rPr>
              <w:t>公示与张贴布告</w:t>
            </w:r>
          </w:p>
        </w:tc>
        <w:tc>
          <w:tcPr>
            <w:tcW w:w="2419"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宋体" w:hAnsi="宋体" w:eastAsia="宋体" w:cs="宋体"/>
                <w:sz w:val="24"/>
                <w:highlight w:val="none"/>
              </w:rPr>
            </w:pPr>
            <w:r>
              <w:rPr>
                <w:rFonts w:hint="eastAsia" w:ascii="宋体" w:hAnsi="宋体" w:eastAsia="宋体" w:cs="宋体"/>
                <w:sz w:val="24"/>
                <w:highlight w:val="none"/>
              </w:rPr>
              <w:t>2020.3.10</w:t>
            </w:r>
            <w:r>
              <w:rPr>
                <w:rFonts w:hint="eastAsia" w:ascii="宋体" w:hAnsi="宋体" w:cs="宋体"/>
                <w:sz w:val="24"/>
                <w:highlight w:val="none"/>
                <w:lang w:val="en-US" w:eastAsia="zh-CN"/>
              </w:rPr>
              <w:t>-</w:t>
            </w:r>
            <w:r>
              <w:rPr>
                <w:rFonts w:hint="eastAsia" w:ascii="宋体" w:hAnsi="宋体" w:eastAsia="宋体" w:cs="宋体"/>
                <w:sz w:val="24"/>
                <w:highlight w:val="none"/>
              </w:rPr>
              <w:t>2020.3.23</w:t>
            </w:r>
          </w:p>
        </w:tc>
        <w:tc>
          <w:tcPr>
            <w:tcW w:w="1151" w:type="dxa"/>
            <w:vMerge w:val="continue"/>
            <w:tcBorders>
              <w:left w:val="single" w:color="auto" w:sz="4" w:space="0"/>
              <w:right w:val="single" w:color="auto" w:sz="4" w:space="0"/>
            </w:tcBorders>
            <w:vAlign w:val="center"/>
          </w:tcPr>
          <w:p>
            <w:pPr>
              <w:snapToGrid w:val="0"/>
              <w:spacing w:line="240" w:lineRule="exact"/>
              <w:jc w:val="center"/>
              <w:rPr>
                <w:sz w:val="24"/>
              </w:rPr>
            </w:pPr>
          </w:p>
        </w:tc>
        <w:tc>
          <w:tcPr>
            <w:tcW w:w="210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b/>
                <w:sz w:val="24"/>
              </w:rPr>
            </w:pPr>
            <w:r>
              <w:rPr>
                <w:rFonts w:hint="eastAsia"/>
                <w:sz w:val="24"/>
              </w:rPr>
              <w:t>网络平台、报纸及厂址周围村庄</w:t>
            </w:r>
          </w:p>
        </w:tc>
        <w:tc>
          <w:tcPr>
            <w:tcW w:w="1252" w:type="dxa"/>
            <w:vMerge w:val="continue"/>
            <w:tcBorders>
              <w:top w:val="single" w:color="auto" w:sz="4" w:space="0"/>
              <w:left w:val="single" w:color="auto" w:sz="4" w:space="0"/>
              <w:bottom w:val="single" w:color="auto" w:sz="12" w:space="0"/>
              <w:right w:val="single" w:color="auto" w:sz="12" w:space="0"/>
            </w:tcBorders>
            <w:vAlign w:val="center"/>
          </w:tcPr>
          <w:p>
            <w:pPr>
              <w:widowControl/>
              <w:jc w:val="left"/>
              <w:rPr>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235" w:hRule="atLeast"/>
          <w:jc w:val="center"/>
        </w:trPr>
        <w:tc>
          <w:tcPr>
            <w:tcW w:w="405" w:type="dxa"/>
            <w:tcBorders>
              <w:top w:val="single" w:color="auto" w:sz="4" w:space="0"/>
              <w:left w:val="single" w:color="auto" w:sz="12" w:space="0"/>
              <w:bottom w:val="single" w:color="auto" w:sz="12" w:space="0"/>
              <w:right w:val="single" w:color="auto" w:sz="4" w:space="0"/>
            </w:tcBorders>
            <w:vAlign w:val="center"/>
          </w:tcPr>
          <w:p>
            <w:pPr>
              <w:snapToGrid w:val="0"/>
              <w:spacing w:line="240" w:lineRule="exact"/>
              <w:jc w:val="center"/>
              <w:rPr>
                <w:sz w:val="24"/>
              </w:rPr>
            </w:pPr>
            <w:r>
              <w:rPr>
                <w:rFonts w:hint="eastAsia"/>
                <w:sz w:val="24"/>
              </w:rPr>
              <w:t>公众</w:t>
            </w:r>
          </w:p>
          <w:p>
            <w:pPr>
              <w:snapToGrid w:val="0"/>
              <w:spacing w:line="240" w:lineRule="exact"/>
              <w:jc w:val="center"/>
              <w:rPr>
                <w:sz w:val="24"/>
              </w:rPr>
            </w:pPr>
            <w:r>
              <w:rPr>
                <w:rFonts w:hint="eastAsia"/>
                <w:sz w:val="24"/>
              </w:rPr>
              <w:t>调查</w:t>
            </w:r>
          </w:p>
        </w:tc>
        <w:tc>
          <w:tcPr>
            <w:tcW w:w="1035" w:type="dxa"/>
            <w:gridSpan w:val="2"/>
            <w:tcBorders>
              <w:top w:val="single" w:color="auto" w:sz="4" w:space="0"/>
              <w:left w:val="single" w:color="auto" w:sz="4" w:space="0"/>
              <w:bottom w:val="single" w:color="auto" w:sz="12" w:space="0"/>
              <w:right w:val="single" w:color="auto" w:sz="4" w:space="0"/>
            </w:tcBorders>
            <w:vAlign w:val="center"/>
          </w:tcPr>
          <w:p>
            <w:pPr>
              <w:snapToGrid w:val="0"/>
              <w:spacing w:line="240" w:lineRule="exact"/>
              <w:jc w:val="center"/>
              <w:rPr>
                <w:sz w:val="24"/>
              </w:rPr>
            </w:pPr>
            <w:r>
              <w:rPr>
                <w:rFonts w:hint="eastAsia"/>
                <w:bCs/>
                <w:sz w:val="24"/>
              </w:rPr>
              <w:t>收集公众意见</w:t>
            </w:r>
          </w:p>
        </w:tc>
        <w:tc>
          <w:tcPr>
            <w:tcW w:w="2419" w:type="dxa"/>
            <w:tcBorders>
              <w:top w:val="single" w:color="auto" w:sz="4" w:space="0"/>
              <w:left w:val="single" w:color="auto" w:sz="4" w:space="0"/>
              <w:bottom w:val="single" w:color="auto" w:sz="12" w:space="0"/>
              <w:right w:val="single" w:color="auto" w:sz="4" w:space="0"/>
            </w:tcBorders>
            <w:vAlign w:val="center"/>
          </w:tcPr>
          <w:p>
            <w:pPr>
              <w:snapToGrid w:val="0"/>
              <w:spacing w:line="240" w:lineRule="exact"/>
              <w:jc w:val="center"/>
              <w:rPr>
                <w:rFonts w:hint="eastAsia" w:ascii="宋体" w:hAnsi="宋体" w:eastAsia="宋体" w:cs="宋体"/>
                <w:sz w:val="24"/>
                <w:highlight w:val="none"/>
              </w:rPr>
            </w:pPr>
            <w:r>
              <w:rPr>
                <w:rFonts w:hint="eastAsia" w:ascii="宋体" w:hAnsi="宋体" w:eastAsia="宋体" w:cs="宋体"/>
                <w:sz w:val="24"/>
                <w:highlight w:val="none"/>
              </w:rPr>
              <w:t>2019.12.20</w:t>
            </w:r>
          </w:p>
        </w:tc>
        <w:tc>
          <w:tcPr>
            <w:tcW w:w="1151" w:type="dxa"/>
            <w:vMerge w:val="continue"/>
            <w:tcBorders>
              <w:left w:val="single" w:color="auto" w:sz="4" w:space="0"/>
              <w:bottom w:val="single" w:color="auto" w:sz="12" w:space="0"/>
              <w:right w:val="single" w:color="auto" w:sz="4" w:space="0"/>
            </w:tcBorders>
            <w:vAlign w:val="center"/>
          </w:tcPr>
          <w:p>
            <w:pPr>
              <w:snapToGrid w:val="0"/>
              <w:spacing w:line="240" w:lineRule="exact"/>
              <w:jc w:val="center"/>
              <w:rPr>
                <w:sz w:val="24"/>
              </w:rPr>
            </w:pPr>
          </w:p>
        </w:tc>
        <w:tc>
          <w:tcPr>
            <w:tcW w:w="2100" w:type="dxa"/>
            <w:tcBorders>
              <w:top w:val="single" w:color="auto" w:sz="4" w:space="0"/>
              <w:left w:val="single" w:color="auto" w:sz="4" w:space="0"/>
              <w:bottom w:val="single" w:color="auto" w:sz="12" w:space="0"/>
              <w:right w:val="single" w:color="auto" w:sz="4" w:space="0"/>
            </w:tcBorders>
            <w:vAlign w:val="center"/>
          </w:tcPr>
          <w:p>
            <w:pPr>
              <w:snapToGrid w:val="0"/>
              <w:spacing w:line="240" w:lineRule="exact"/>
              <w:jc w:val="center"/>
              <w:rPr>
                <w:sz w:val="24"/>
              </w:rPr>
            </w:pPr>
            <w:r>
              <w:rPr>
                <w:rFonts w:hint="eastAsia"/>
                <w:sz w:val="24"/>
              </w:rPr>
              <w:t>关心本项目的公众</w:t>
            </w:r>
          </w:p>
        </w:tc>
        <w:tc>
          <w:tcPr>
            <w:tcW w:w="1252" w:type="dxa"/>
            <w:vMerge w:val="continue"/>
            <w:tcBorders>
              <w:top w:val="single" w:color="auto" w:sz="4" w:space="0"/>
              <w:left w:val="single" w:color="auto" w:sz="4" w:space="0"/>
              <w:bottom w:val="single" w:color="auto" w:sz="12" w:space="0"/>
              <w:right w:val="single" w:color="auto" w:sz="12" w:space="0"/>
            </w:tcBorders>
            <w:vAlign w:val="center"/>
          </w:tcPr>
          <w:p>
            <w:pPr>
              <w:widowControl/>
              <w:jc w:val="left"/>
              <w:rPr>
                <w:kern w:val="0"/>
                <w:sz w:val="18"/>
                <w:szCs w:val="18"/>
              </w:rPr>
            </w:pPr>
          </w:p>
        </w:tc>
      </w:tr>
    </w:tbl>
    <w:p>
      <w:pPr>
        <w:keepNext/>
        <w:tabs>
          <w:tab w:val="left" w:pos="420"/>
          <w:tab w:val="left" w:pos="576"/>
          <w:tab w:val="left" w:pos="3150"/>
        </w:tabs>
        <w:spacing w:line="360" w:lineRule="auto"/>
        <w:outlineLvl w:val="1"/>
        <w:rPr>
          <w:rFonts w:eastAsia="黑体"/>
          <w:iCs/>
          <w:sz w:val="28"/>
          <w:szCs w:val="28"/>
        </w:rPr>
      </w:pPr>
      <w:r>
        <w:rPr>
          <w:rFonts w:hint="eastAsia" w:eastAsia="黑体"/>
          <w:iCs/>
          <w:sz w:val="28"/>
          <w:szCs w:val="28"/>
        </w:rPr>
        <w:t>1.3 实施方案</w:t>
      </w:r>
    </w:p>
    <w:p>
      <w:pPr>
        <w:keepNext/>
        <w:keepLines/>
        <w:tabs>
          <w:tab w:val="left" w:pos="420"/>
          <w:tab w:val="left" w:pos="1080"/>
        </w:tabs>
        <w:spacing w:line="360" w:lineRule="auto"/>
        <w:outlineLvl w:val="2"/>
        <w:rPr>
          <w:b/>
          <w:bCs/>
          <w:sz w:val="24"/>
        </w:rPr>
      </w:pPr>
      <w:r>
        <w:rPr>
          <w:rFonts w:hint="eastAsia"/>
          <w:b/>
          <w:bCs/>
          <w:sz w:val="24"/>
        </w:rPr>
        <w:t>1.3.1 公参调查形式</w:t>
      </w:r>
    </w:p>
    <w:p>
      <w:pPr>
        <w:spacing w:line="500" w:lineRule="exact"/>
        <w:ind w:firstLine="480" w:firstLineChars="200"/>
        <w:rPr>
          <w:bCs/>
          <w:sz w:val="24"/>
        </w:rPr>
      </w:pPr>
      <w:r>
        <w:rPr>
          <w:rFonts w:hint="eastAsia"/>
          <w:sz w:val="24"/>
        </w:rPr>
        <w:t>本次</w:t>
      </w:r>
      <w:r>
        <w:rPr>
          <w:rFonts w:hint="eastAsia"/>
          <w:bCs/>
          <w:sz w:val="24"/>
        </w:rPr>
        <w:t>公众意见调查工作拟采取信息公告和收集公众意见的形式进行。</w:t>
      </w:r>
    </w:p>
    <w:p>
      <w:pPr>
        <w:keepNext/>
        <w:keepLines/>
        <w:tabs>
          <w:tab w:val="left" w:pos="420"/>
          <w:tab w:val="left" w:pos="1080"/>
        </w:tabs>
        <w:spacing w:line="360" w:lineRule="auto"/>
        <w:outlineLvl w:val="2"/>
        <w:rPr>
          <w:b/>
          <w:bCs/>
          <w:sz w:val="24"/>
        </w:rPr>
      </w:pPr>
      <w:r>
        <w:rPr>
          <w:rFonts w:hint="eastAsia"/>
          <w:b/>
          <w:bCs/>
          <w:sz w:val="24"/>
        </w:rPr>
        <w:t>1.3.2 调查范围</w:t>
      </w:r>
    </w:p>
    <w:p>
      <w:pPr>
        <w:spacing w:line="360" w:lineRule="auto"/>
        <w:ind w:firstLine="480" w:firstLineChars="200"/>
        <w:rPr>
          <w:sz w:val="24"/>
        </w:rPr>
      </w:pPr>
      <w:r>
        <w:rPr>
          <w:rFonts w:hint="eastAsia"/>
          <w:sz w:val="24"/>
        </w:rPr>
        <w:t>本次公众意见征求范围包括受建设项目影响的公民、法人或者组织的代表，以及其他关心本项目建设的公众。</w:t>
      </w:r>
    </w:p>
    <w:p>
      <w:pPr>
        <w:keepNext/>
        <w:keepLines/>
        <w:tabs>
          <w:tab w:val="left" w:pos="420"/>
          <w:tab w:val="left" w:pos="1080"/>
        </w:tabs>
        <w:spacing w:line="360" w:lineRule="auto"/>
        <w:outlineLvl w:val="2"/>
        <w:rPr>
          <w:b/>
          <w:bCs/>
          <w:sz w:val="24"/>
        </w:rPr>
      </w:pPr>
      <w:r>
        <w:rPr>
          <w:rFonts w:hint="eastAsia"/>
          <w:b/>
          <w:bCs/>
          <w:sz w:val="24"/>
        </w:rPr>
        <w:t>1.3.3 调查计划</w:t>
      </w:r>
    </w:p>
    <w:p>
      <w:pPr>
        <w:spacing w:line="360" w:lineRule="auto"/>
        <w:ind w:firstLine="480" w:firstLineChars="200"/>
        <w:rPr>
          <w:sz w:val="24"/>
        </w:rPr>
      </w:pPr>
      <w:r>
        <w:rPr>
          <w:rFonts w:hint="eastAsia"/>
          <w:sz w:val="24"/>
        </w:rPr>
        <w:t>（</w:t>
      </w:r>
      <w:r>
        <w:rPr>
          <w:sz w:val="24"/>
        </w:rPr>
        <w:t>1</w:t>
      </w:r>
      <w:r>
        <w:rPr>
          <w:rFonts w:hint="eastAsia"/>
          <w:sz w:val="24"/>
        </w:rPr>
        <w:t>）</w:t>
      </w:r>
      <w:r>
        <w:rPr>
          <w:rFonts w:hint="eastAsia" w:hAnsi="宋体"/>
          <w:sz w:val="24"/>
        </w:rPr>
        <w:t>第一次信息公示</w:t>
      </w:r>
    </w:p>
    <w:p>
      <w:pPr>
        <w:spacing w:line="360" w:lineRule="auto"/>
        <w:ind w:firstLine="480" w:firstLineChars="200"/>
        <w:rPr>
          <w:sz w:val="24"/>
        </w:rPr>
      </w:pPr>
      <w:r>
        <w:rPr>
          <w:rFonts w:hint="eastAsia" w:hAnsi="宋体"/>
          <w:sz w:val="24"/>
        </w:rPr>
        <w:t>环评单位接受委托后七日内，建设单位在网络平台上进行了本项目简况的信息公示，向公众介绍本次工程概况，包括规划名称、建设单位的名称和联系方式、承担评价工作的环境影响评价机构的名称和联系方式、环境影响评价的工作程序和主要工作内容、公众提出意见的主要方式等。</w:t>
      </w:r>
    </w:p>
    <w:p>
      <w:pPr>
        <w:spacing w:line="360" w:lineRule="auto"/>
        <w:ind w:firstLine="480" w:firstLineChars="200"/>
        <w:outlineLvl w:val="0"/>
        <w:rPr>
          <w:sz w:val="24"/>
        </w:rPr>
      </w:pPr>
      <w:r>
        <w:rPr>
          <w:rFonts w:hint="eastAsia"/>
          <w:sz w:val="24"/>
        </w:rPr>
        <w:t>（</w:t>
      </w:r>
      <w:r>
        <w:rPr>
          <w:sz w:val="24"/>
        </w:rPr>
        <w:t>2</w:t>
      </w:r>
      <w:r>
        <w:rPr>
          <w:rFonts w:hint="eastAsia"/>
          <w:sz w:val="24"/>
        </w:rPr>
        <w:t>）</w:t>
      </w:r>
      <w:r>
        <w:rPr>
          <w:rFonts w:hint="eastAsia" w:hAnsi="宋体"/>
          <w:sz w:val="24"/>
        </w:rPr>
        <w:t>第二次信息公示</w:t>
      </w:r>
    </w:p>
    <w:p>
      <w:pPr>
        <w:spacing w:line="360" w:lineRule="auto"/>
        <w:ind w:firstLine="480"/>
        <w:rPr>
          <w:rFonts w:hAnsi="新宋体" w:eastAsia="新宋体"/>
          <w:sz w:val="24"/>
        </w:rPr>
      </w:pPr>
      <w:r>
        <w:rPr>
          <w:rFonts w:hint="eastAsia" w:hAnsi="新宋体" w:eastAsia="新宋体"/>
          <w:sz w:val="24"/>
        </w:rPr>
        <w:t>建设单位在网络平台、所在地公众易于接触的报纸、项目所在地公众易于知悉的场所进行了公示。持续公开期限不得少于10个工作日，期间报纸公示不少于两次。在第一次信息公示的基础上，重点向公众介绍项目污染物排放对环境的影响情况。并公开建设单位和环评单位的名称和联系方式，统计群众反映的问题。</w:t>
      </w:r>
    </w:p>
    <w:p>
      <w:pPr>
        <w:spacing w:line="360" w:lineRule="auto"/>
        <w:ind w:firstLine="480" w:firstLineChars="200"/>
        <w:outlineLvl w:val="0"/>
        <w:rPr>
          <w:sz w:val="24"/>
        </w:rPr>
      </w:pPr>
      <w:r>
        <w:rPr>
          <w:rFonts w:hint="eastAsia"/>
          <w:sz w:val="24"/>
        </w:rPr>
        <w:t>（</w:t>
      </w:r>
      <w:r>
        <w:rPr>
          <w:sz w:val="24"/>
        </w:rPr>
        <w:t>3</w:t>
      </w:r>
      <w:r>
        <w:rPr>
          <w:rFonts w:hint="eastAsia"/>
          <w:sz w:val="24"/>
        </w:rPr>
        <w:t>）征求意见稿公示</w:t>
      </w:r>
    </w:p>
    <w:p>
      <w:pPr>
        <w:spacing w:line="360" w:lineRule="auto"/>
        <w:ind w:firstLine="480" w:firstLineChars="200"/>
        <w:rPr>
          <w:rFonts w:eastAsia="新宋体"/>
          <w:sz w:val="24"/>
        </w:rPr>
      </w:pPr>
      <w:r>
        <w:rPr>
          <w:rFonts w:hint="eastAsia" w:hAnsi="新宋体" w:eastAsia="新宋体"/>
          <w:sz w:val="24"/>
        </w:rPr>
        <w:t>环境影响报告书征求意见稿完成后，在项目主要影响到的村庄张贴告示，提示公众可到建设单位查看项目环境影响报告书征求意见稿，或登录信息公示的网站查看报告书征求意见稿链接。公示中留下建设单位和环评单位负责人联系方式以及公众意见调查表的下载链接。</w:t>
      </w:r>
    </w:p>
    <w:p>
      <w:pPr>
        <w:spacing w:line="360" w:lineRule="auto"/>
        <w:ind w:firstLine="480" w:firstLineChars="200"/>
        <w:outlineLvl w:val="0"/>
        <w:rPr>
          <w:sz w:val="24"/>
        </w:rPr>
      </w:pPr>
      <w:r>
        <w:rPr>
          <w:rFonts w:hint="eastAsia"/>
          <w:sz w:val="24"/>
        </w:rPr>
        <w:t>（</w:t>
      </w:r>
      <w:r>
        <w:rPr>
          <w:sz w:val="24"/>
        </w:rPr>
        <w:t>4</w:t>
      </w:r>
      <w:r>
        <w:rPr>
          <w:rFonts w:hint="eastAsia"/>
          <w:sz w:val="24"/>
        </w:rPr>
        <w:t>）公众意见调查</w:t>
      </w:r>
    </w:p>
    <w:p>
      <w:pPr>
        <w:spacing w:line="360" w:lineRule="auto"/>
        <w:ind w:firstLine="480"/>
        <w:rPr>
          <w:rFonts w:hAnsi="新宋体" w:eastAsia="新宋体"/>
          <w:sz w:val="24"/>
        </w:rPr>
      </w:pPr>
      <w:r>
        <w:rPr>
          <w:rFonts w:hint="eastAsia" w:hAnsi="新宋体" w:eastAsia="新宋体"/>
          <w:sz w:val="24"/>
        </w:rPr>
        <w:t>　建设单位随第二次信息公示公众意见表的网络链接、公众提出意见的方式和途径、公众提出意见的起止时间。建设单位征求公众意见的期限不得少于10个工作日。公众可以通过信函、传真、电子邮件或者建设单位提供的其他方式，在规定时间内将填写的公众意见表等提交建设单位，反映与建设项目环境影响有关的意见和建议。公众提交意见时，应当提供有效的联系方式。鼓励公众采用实名方式提交意见并提供常住地址。对公众提交的相关个人信息，建设单位不得用于环境影响评价公众参与之外的用途，未经个人信息相关权利人允许不得公开。法律法规另有规定的除外。</w:t>
      </w:r>
    </w:p>
    <w:p>
      <w:pPr>
        <w:spacing w:line="360" w:lineRule="auto"/>
        <w:ind w:firstLine="480"/>
        <w:rPr>
          <w:b/>
          <w:bCs/>
          <w:sz w:val="24"/>
        </w:rPr>
      </w:pPr>
      <w:r>
        <w:rPr>
          <w:rFonts w:hint="eastAsia"/>
          <w:b/>
          <w:bCs/>
          <w:sz w:val="24"/>
        </w:rPr>
        <w:t>1.3.4 意见汇总与使用</w:t>
      </w:r>
    </w:p>
    <w:p>
      <w:pPr>
        <w:spacing w:line="360" w:lineRule="auto"/>
        <w:ind w:firstLine="480" w:firstLineChars="200"/>
        <w:rPr>
          <w:rFonts w:hAnsi="宋体"/>
          <w:sz w:val="24"/>
        </w:rPr>
      </w:pPr>
      <w:r>
        <w:rPr>
          <w:rFonts w:hint="eastAsia" w:hAnsi="宋体"/>
          <w:sz w:val="24"/>
        </w:rPr>
        <w:t>建设单位对收到的公众意见进行整理，组织环境影响报告书编制单位或者其他有能力的单位进行专业分析后提出采纳或者不采纳的建议。建设单位综合考虑建设项目情况、环境影响报告书编制单位或者其他有能力的单位的建议、技术经济可行性等因素，采纳与建设项目环境影响有关的合理意见，并组织环境影响报告书编制单位根据采纳的意见修改完善环境影响报告书。对未采纳的意见，建设单位应当说明理由。未采纳的意见由提供有效联系方式的公众提出的，建设单位应当通过该联系方式，向其说明未采纳的理由。</w:t>
      </w:r>
    </w:p>
    <w:p>
      <w:pPr>
        <w:keepNext/>
        <w:keepLines/>
        <w:tabs>
          <w:tab w:val="left" w:pos="432"/>
        </w:tabs>
        <w:autoSpaceDN w:val="0"/>
        <w:spacing w:line="360" w:lineRule="auto"/>
        <w:outlineLvl w:val="0"/>
        <w:rPr>
          <w:rFonts w:eastAsiaTheme="majorEastAsia"/>
          <w:b/>
          <w:bCs/>
          <w:kern w:val="44"/>
          <w:sz w:val="32"/>
          <w:szCs w:val="32"/>
        </w:rPr>
      </w:pPr>
      <w:r>
        <w:rPr>
          <w:rFonts w:eastAsiaTheme="majorEastAsia"/>
          <w:b/>
          <w:bCs/>
          <w:kern w:val="44"/>
          <w:sz w:val="32"/>
          <w:szCs w:val="32"/>
        </w:rPr>
        <w:t xml:space="preserve">2 </w:t>
      </w:r>
      <w:r>
        <w:rPr>
          <w:rFonts w:hAnsiTheme="majorEastAsia" w:eastAsiaTheme="majorEastAsia"/>
          <w:b/>
          <w:bCs/>
          <w:kern w:val="44"/>
          <w:sz w:val="32"/>
          <w:szCs w:val="32"/>
        </w:rPr>
        <w:t>首次环境影响评价信息公开情况</w:t>
      </w:r>
      <w:r>
        <w:rPr>
          <w:rFonts w:eastAsiaTheme="majorEastAsia"/>
          <w:b/>
          <w:bCs/>
          <w:kern w:val="44"/>
          <w:sz w:val="32"/>
          <w:szCs w:val="32"/>
        </w:rPr>
        <w:t xml:space="preserve"> </w:t>
      </w:r>
    </w:p>
    <w:p>
      <w:pPr>
        <w:keepNext/>
        <w:tabs>
          <w:tab w:val="left" w:pos="420"/>
          <w:tab w:val="left" w:pos="576"/>
          <w:tab w:val="left" w:pos="3150"/>
        </w:tabs>
        <w:spacing w:line="360" w:lineRule="auto"/>
        <w:outlineLvl w:val="1"/>
        <w:rPr>
          <w:rFonts w:eastAsia="黑体"/>
          <w:iCs/>
          <w:sz w:val="28"/>
          <w:szCs w:val="28"/>
        </w:rPr>
      </w:pPr>
      <w:r>
        <w:rPr>
          <w:rFonts w:hint="eastAsia" w:eastAsia="黑体"/>
          <w:iCs/>
          <w:sz w:val="28"/>
          <w:szCs w:val="28"/>
        </w:rPr>
        <w:t xml:space="preserve">2.1 公开内容及日期 </w:t>
      </w:r>
    </w:p>
    <w:p>
      <w:pPr>
        <w:spacing w:line="360" w:lineRule="auto"/>
        <w:ind w:firstLine="480" w:firstLineChars="200"/>
        <w:rPr>
          <w:rFonts w:ascii="微软雅黑" w:hAnsi="微软雅黑" w:eastAsia="微软雅黑" w:cs="宋体"/>
          <w:kern w:val="0"/>
          <w:sz w:val="24"/>
          <w:highlight w:val="yellow"/>
        </w:rPr>
      </w:pPr>
      <w:r>
        <w:rPr>
          <w:rFonts w:hint="eastAsia" w:hAnsi="宋体"/>
          <w:sz w:val="24"/>
        </w:rPr>
        <w:t>建设单位于2019年12月委托山东省环境保护科学研究设计院有限公司编制该项目的环境影响报告书。根据《环境影响评价公众参与办法》规定，在确定环境影响报告书编制单位后7个工作日内，在网络平台进行了第一次信息公示。第一次公示信息见后附。</w:t>
      </w:r>
    </w:p>
    <w:p>
      <w:pPr>
        <w:keepNext/>
        <w:tabs>
          <w:tab w:val="left" w:pos="420"/>
          <w:tab w:val="left" w:pos="576"/>
          <w:tab w:val="left" w:pos="3150"/>
        </w:tabs>
        <w:spacing w:line="360" w:lineRule="auto"/>
        <w:outlineLvl w:val="1"/>
        <w:rPr>
          <w:rFonts w:eastAsia="黑体"/>
          <w:iCs/>
          <w:sz w:val="28"/>
          <w:szCs w:val="28"/>
        </w:rPr>
      </w:pPr>
      <w:r>
        <w:rPr>
          <w:rFonts w:hint="eastAsia" w:eastAsia="黑体"/>
          <w:iCs/>
          <w:sz w:val="28"/>
          <w:szCs w:val="28"/>
        </w:rPr>
        <w:t xml:space="preserve">2.2 公开方式 </w:t>
      </w:r>
    </w:p>
    <w:p>
      <w:pPr>
        <w:keepNext/>
        <w:keepLines/>
        <w:tabs>
          <w:tab w:val="left" w:pos="420"/>
          <w:tab w:val="left" w:pos="1080"/>
        </w:tabs>
        <w:spacing w:line="360" w:lineRule="auto"/>
        <w:outlineLvl w:val="2"/>
        <w:rPr>
          <w:b/>
          <w:bCs/>
          <w:sz w:val="24"/>
        </w:rPr>
      </w:pPr>
      <w:r>
        <w:rPr>
          <w:rFonts w:hint="eastAsia"/>
          <w:b/>
          <w:bCs/>
          <w:sz w:val="24"/>
        </w:rPr>
        <w:t xml:space="preserve">2.2.1 网络 </w:t>
      </w:r>
    </w:p>
    <w:p>
      <w:pPr>
        <w:spacing w:line="360" w:lineRule="auto"/>
        <w:ind w:firstLine="480" w:firstLineChars="200"/>
        <w:rPr>
          <w:rFonts w:hAnsi="宋体"/>
          <w:sz w:val="24"/>
        </w:rPr>
      </w:pPr>
      <w:r>
        <w:rPr>
          <w:rFonts w:hint="eastAsia" w:hAnsi="宋体"/>
          <w:sz w:val="24"/>
        </w:rPr>
        <w:t>本项目第一次信息公示在薛城区政府网站，符合《环境影响评价公众参与办法》要求。公示时间为</w:t>
      </w:r>
      <w:r>
        <w:rPr>
          <w:rFonts w:hint="eastAsia"/>
          <w:sz w:val="24"/>
        </w:rPr>
        <w:t>2019.12.20</w:t>
      </w:r>
      <w:r>
        <w:rPr>
          <w:rFonts w:hint="eastAsia" w:hAnsi="宋体"/>
          <w:sz w:val="24"/>
        </w:rPr>
        <w:t>。</w:t>
      </w:r>
    </w:p>
    <w:p>
      <w:pPr>
        <w:tabs>
          <w:tab w:val="left" w:pos="432"/>
        </w:tabs>
        <w:spacing w:line="360" w:lineRule="auto"/>
        <w:ind w:firstLine="480" w:firstLineChars="200"/>
        <w:rPr>
          <w:rFonts w:eastAsiaTheme="minorEastAsia"/>
          <w:color w:val="0000FF"/>
          <w:sz w:val="24"/>
          <w:u w:val="single"/>
        </w:rPr>
      </w:pPr>
      <w:r>
        <w:rPr>
          <w:rFonts w:hint="eastAsia" w:hAnsi="宋体"/>
          <w:sz w:val="24"/>
        </w:rPr>
        <w:t>网址如下：</w:t>
      </w:r>
      <w:r>
        <w:fldChar w:fldCharType="begin"/>
      </w:r>
      <w:r>
        <w:instrText xml:space="preserve"> HYPERLINK "http://www.xuecheng.gov.cn/board.news.jsp?id=555" </w:instrText>
      </w:r>
      <w:r>
        <w:fldChar w:fldCharType="separate"/>
      </w:r>
      <w:r>
        <w:rPr>
          <w:rStyle w:val="13"/>
          <w:rFonts w:eastAsia="Times New Roman"/>
          <w:sz w:val="24"/>
        </w:rPr>
        <w:t>http://www.xuecheng.gov.cn</w:t>
      </w:r>
      <w:r>
        <w:rPr>
          <w:rStyle w:val="13"/>
          <w:rFonts w:eastAsia="Times New Roman"/>
          <w:sz w:val="24"/>
        </w:rPr>
        <w:fldChar w:fldCharType="end"/>
      </w:r>
    </w:p>
    <w:p>
      <w:pPr>
        <w:spacing w:line="360" w:lineRule="auto"/>
        <w:ind w:left="420" w:leftChars="200"/>
        <w:rPr>
          <w:rFonts w:hAnsi="宋体"/>
          <w:sz w:val="24"/>
        </w:rPr>
      </w:pPr>
      <w:r>
        <w:rPr>
          <w:rFonts w:hint="eastAsia" w:hAnsi="宋体"/>
          <w:sz w:val="24"/>
        </w:rPr>
        <w:t>截图如下：</w:t>
      </w:r>
    </w:p>
    <w:p>
      <w:pPr>
        <w:spacing w:line="360" w:lineRule="auto"/>
        <w:jc w:val="left"/>
        <w:rPr>
          <w:rFonts w:hAnsi="宋体"/>
          <w:sz w:val="24"/>
        </w:rPr>
      </w:pPr>
      <w:r>
        <w:rPr>
          <w:rFonts w:hint="eastAsia" w:hAnsi="宋体"/>
          <w:sz w:val="24"/>
        </w:rPr>
        <w:drawing>
          <wp:inline distT="0" distB="0" distL="114300" distR="114300">
            <wp:extent cx="5752465" cy="3362325"/>
            <wp:effectExtent l="0" t="0" r="635" b="9525"/>
            <wp:docPr id="24" name="图片 24" descr="1584416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84416410(1)"/>
                    <pic:cNvPicPr>
                      <a:picLocks noChangeAspect="1"/>
                    </pic:cNvPicPr>
                  </pic:nvPicPr>
                  <pic:blipFill>
                    <a:blip r:embed="rId5" cstate="print"/>
                    <a:stretch>
                      <a:fillRect/>
                    </a:stretch>
                  </pic:blipFill>
                  <pic:spPr>
                    <a:xfrm>
                      <a:off x="0" y="0"/>
                      <a:ext cx="5752465" cy="3362325"/>
                    </a:xfrm>
                    <a:prstGeom prst="rect">
                      <a:avLst/>
                    </a:prstGeom>
                  </pic:spPr>
                </pic:pic>
              </a:graphicData>
            </a:graphic>
          </wp:inline>
        </w:drawing>
      </w:r>
    </w:p>
    <w:p>
      <w:pPr>
        <w:spacing w:line="360" w:lineRule="auto"/>
        <w:jc w:val="left"/>
        <w:rPr>
          <w:rFonts w:hAnsi="宋体"/>
          <w:sz w:val="24"/>
        </w:rPr>
      </w:pPr>
      <w:r>
        <w:rPr>
          <w:rFonts w:hint="eastAsia" w:hAnsi="宋体"/>
          <w:sz w:val="24"/>
        </w:rPr>
        <w:drawing>
          <wp:inline distT="0" distB="0" distL="114300" distR="114300">
            <wp:extent cx="5928360" cy="4247515"/>
            <wp:effectExtent l="0" t="0" r="15240" b="635"/>
            <wp:docPr id="25" name="图片 25" descr="1584416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584416512(1)"/>
                    <pic:cNvPicPr>
                      <a:picLocks noChangeAspect="1"/>
                    </pic:cNvPicPr>
                  </pic:nvPicPr>
                  <pic:blipFill>
                    <a:blip r:embed="rId6" cstate="print"/>
                    <a:stretch>
                      <a:fillRect/>
                    </a:stretch>
                  </pic:blipFill>
                  <pic:spPr>
                    <a:xfrm>
                      <a:off x="0" y="0"/>
                      <a:ext cx="5928360" cy="4247515"/>
                    </a:xfrm>
                    <a:prstGeom prst="rect">
                      <a:avLst/>
                    </a:prstGeom>
                  </pic:spPr>
                </pic:pic>
              </a:graphicData>
            </a:graphic>
          </wp:inline>
        </w:drawing>
      </w:r>
    </w:p>
    <w:p>
      <w:pPr>
        <w:spacing w:line="360" w:lineRule="auto"/>
        <w:ind w:left="2640" w:hanging="2640" w:hangingChars="1100"/>
        <w:rPr>
          <w:rFonts w:hAnsi="黑体" w:eastAsia="黑体"/>
          <w:sz w:val="24"/>
        </w:rPr>
      </w:pPr>
      <w:r>
        <w:rPr>
          <w:rFonts w:hint="eastAsia" w:hAnsi="黑体" w:eastAsia="黑体"/>
          <w:sz w:val="24"/>
        </w:rPr>
        <w:drawing>
          <wp:inline distT="0" distB="0" distL="114300" distR="114300">
            <wp:extent cx="5982970" cy="4025900"/>
            <wp:effectExtent l="0" t="0" r="17780" b="12700"/>
            <wp:docPr id="26" name="图片 26" descr="1584416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584416574(1)"/>
                    <pic:cNvPicPr>
                      <a:picLocks noChangeAspect="1"/>
                    </pic:cNvPicPr>
                  </pic:nvPicPr>
                  <pic:blipFill>
                    <a:blip r:embed="rId7" cstate="print"/>
                    <a:stretch>
                      <a:fillRect/>
                    </a:stretch>
                  </pic:blipFill>
                  <pic:spPr>
                    <a:xfrm>
                      <a:off x="0" y="0"/>
                      <a:ext cx="5982970" cy="4025900"/>
                    </a:xfrm>
                    <a:prstGeom prst="rect">
                      <a:avLst/>
                    </a:prstGeom>
                  </pic:spPr>
                </pic:pic>
              </a:graphicData>
            </a:graphic>
          </wp:inline>
        </w:drawing>
      </w:r>
    </w:p>
    <w:p>
      <w:pPr>
        <w:spacing w:line="360" w:lineRule="auto"/>
        <w:ind w:left="2637" w:leftChars="570" w:hanging="1440" w:hangingChars="600"/>
        <w:jc w:val="center"/>
        <w:rPr>
          <w:rFonts w:hAnsi="黑体" w:eastAsia="黑体"/>
          <w:sz w:val="24"/>
        </w:rPr>
      </w:pPr>
      <w:r>
        <w:rPr>
          <w:rFonts w:hAnsi="黑体" w:eastAsia="黑体"/>
          <w:sz w:val="24"/>
        </w:rPr>
        <w:t>图2.1-1 第一次信息公示网页公示截图</w:t>
      </w:r>
    </w:p>
    <w:p>
      <w:pPr>
        <w:keepNext/>
        <w:tabs>
          <w:tab w:val="left" w:pos="420"/>
          <w:tab w:val="left" w:pos="576"/>
          <w:tab w:val="left" w:pos="3150"/>
        </w:tabs>
        <w:spacing w:line="360" w:lineRule="auto"/>
        <w:outlineLvl w:val="1"/>
        <w:rPr>
          <w:rFonts w:eastAsia="黑体"/>
          <w:iCs/>
          <w:sz w:val="28"/>
          <w:szCs w:val="28"/>
        </w:rPr>
      </w:pPr>
      <w:r>
        <w:rPr>
          <w:rFonts w:hint="eastAsia" w:eastAsia="黑体"/>
          <w:iCs/>
          <w:sz w:val="28"/>
          <w:szCs w:val="28"/>
        </w:rPr>
        <w:t xml:space="preserve">2.3 公众意见情况 </w:t>
      </w:r>
    </w:p>
    <w:p>
      <w:pPr>
        <w:spacing w:line="360" w:lineRule="auto"/>
        <w:ind w:firstLine="480" w:firstLineChars="200"/>
        <w:rPr>
          <w:rFonts w:hAnsi="宋体"/>
          <w:sz w:val="24"/>
        </w:rPr>
      </w:pPr>
      <w:r>
        <w:rPr>
          <w:rFonts w:hint="eastAsia" w:hAnsi="宋体"/>
          <w:sz w:val="24"/>
        </w:rPr>
        <w:t>公示期间未收到公众提出反对意见等。</w:t>
      </w:r>
    </w:p>
    <w:p>
      <w:pPr>
        <w:keepNext/>
        <w:keepLines/>
        <w:tabs>
          <w:tab w:val="left" w:pos="432"/>
        </w:tabs>
        <w:autoSpaceDN w:val="0"/>
        <w:spacing w:line="360" w:lineRule="auto"/>
        <w:outlineLvl w:val="0"/>
        <w:rPr>
          <w:rFonts w:eastAsiaTheme="majorEastAsia"/>
          <w:b/>
          <w:bCs/>
          <w:kern w:val="44"/>
          <w:sz w:val="32"/>
          <w:szCs w:val="32"/>
        </w:rPr>
      </w:pPr>
      <w:r>
        <w:rPr>
          <w:rFonts w:hint="eastAsia" w:eastAsiaTheme="majorEastAsia"/>
          <w:b/>
          <w:bCs/>
          <w:kern w:val="44"/>
          <w:sz w:val="32"/>
          <w:szCs w:val="32"/>
        </w:rPr>
        <w:t xml:space="preserve">3 征求意见稿公示情况 </w:t>
      </w:r>
    </w:p>
    <w:p>
      <w:pPr>
        <w:keepNext/>
        <w:tabs>
          <w:tab w:val="left" w:pos="420"/>
          <w:tab w:val="left" w:pos="576"/>
          <w:tab w:val="left" w:pos="3150"/>
        </w:tabs>
        <w:spacing w:line="360" w:lineRule="auto"/>
        <w:outlineLvl w:val="1"/>
        <w:rPr>
          <w:rFonts w:eastAsia="黑体"/>
          <w:iCs/>
          <w:sz w:val="28"/>
          <w:szCs w:val="28"/>
        </w:rPr>
      </w:pPr>
      <w:r>
        <w:rPr>
          <w:rFonts w:hint="eastAsia" w:eastAsia="黑体"/>
          <w:iCs/>
          <w:sz w:val="28"/>
          <w:szCs w:val="28"/>
        </w:rPr>
        <w:t xml:space="preserve">3.1 公示内容及时限 </w:t>
      </w:r>
    </w:p>
    <w:p>
      <w:pPr>
        <w:spacing w:line="360" w:lineRule="auto"/>
        <w:ind w:firstLine="480" w:firstLineChars="200"/>
        <w:rPr>
          <w:rFonts w:hAnsi="宋体"/>
          <w:sz w:val="24"/>
        </w:rPr>
      </w:pPr>
      <w:r>
        <w:rPr>
          <w:rFonts w:hint="eastAsia" w:hAnsi="宋体"/>
          <w:sz w:val="24"/>
        </w:rPr>
        <w:t>根据《环境影响评价公众参与办法》规定，在报告书编制基本完成后，建设单位于</w:t>
      </w:r>
      <w:r>
        <w:rPr>
          <w:rFonts w:hint="eastAsia" w:ascii="宋体" w:hAnsi="宋体" w:eastAsia="宋体" w:cs="宋体"/>
          <w:sz w:val="24"/>
          <w:highlight w:val="none"/>
        </w:rPr>
        <w:t>2020.3.10</w:t>
      </w:r>
      <w:r>
        <w:rPr>
          <w:rFonts w:hint="eastAsia" w:ascii="宋体" w:hAnsi="宋体" w:cs="宋体"/>
          <w:sz w:val="24"/>
          <w:highlight w:val="none"/>
          <w:lang w:val="en-US" w:eastAsia="zh-CN"/>
        </w:rPr>
        <w:t>-</w:t>
      </w:r>
      <w:r>
        <w:rPr>
          <w:rFonts w:hint="eastAsia" w:ascii="宋体" w:hAnsi="宋体" w:eastAsia="宋体" w:cs="宋体"/>
          <w:sz w:val="24"/>
          <w:highlight w:val="none"/>
        </w:rPr>
        <w:t>2020.3.23</w:t>
      </w:r>
      <w:r>
        <w:rPr>
          <w:rFonts w:hint="eastAsia" w:hAnsi="宋体"/>
          <w:sz w:val="24"/>
          <w:highlight w:val="none"/>
        </w:rPr>
        <w:t>日</w:t>
      </w:r>
      <w:r>
        <w:rPr>
          <w:rFonts w:hint="eastAsia" w:hAnsi="宋体"/>
          <w:sz w:val="24"/>
        </w:rPr>
        <w:t>在薛城区政府网站第二次信息公示，公示内容包括环境影响报告书征求意见稿全文的网络链接、查阅纸质报告书的方式和途径，征求意见的公众范围，公众意见表的网络链接，公众提出意见的方式和途径，以及公众提出意见的起止时间。公示时限不少于10个工作日。</w:t>
      </w:r>
    </w:p>
    <w:p>
      <w:pPr>
        <w:spacing w:line="360" w:lineRule="auto"/>
        <w:ind w:firstLine="480" w:firstLineChars="200"/>
        <w:rPr>
          <w:rFonts w:ascii="微软雅黑" w:hAnsi="微软雅黑" w:eastAsia="微软雅黑" w:cs="宋体"/>
          <w:kern w:val="0"/>
          <w:sz w:val="24"/>
          <w:highlight w:val="yellow"/>
        </w:rPr>
      </w:pPr>
      <w:r>
        <w:rPr>
          <w:rFonts w:hint="eastAsia" w:hAnsi="宋体"/>
          <w:sz w:val="24"/>
        </w:rPr>
        <w:t>第二次公示信息见后附。</w:t>
      </w:r>
    </w:p>
    <w:p>
      <w:pPr>
        <w:keepNext/>
        <w:tabs>
          <w:tab w:val="left" w:pos="420"/>
          <w:tab w:val="left" w:pos="576"/>
          <w:tab w:val="left" w:pos="3150"/>
        </w:tabs>
        <w:spacing w:line="360" w:lineRule="auto"/>
        <w:outlineLvl w:val="1"/>
        <w:rPr>
          <w:rFonts w:eastAsia="黑体"/>
          <w:iCs/>
          <w:sz w:val="28"/>
          <w:szCs w:val="28"/>
        </w:rPr>
      </w:pPr>
      <w:r>
        <w:rPr>
          <w:rFonts w:hint="eastAsia" w:eastAsia="黑体"/>
          <w:iCs/>
          <w:sz w:val="28"/>
          <w:szCs w:val="28"/>
        </w:rPr>
        <w:t xml:space="preserve">3.2 公示方式 </w:t>
      </w:r>
    </w:p>
    <w:p>
      <w:pPr>
        <w:keepNext/>
        <w:keepLines/>
        <w:tabs>
          <w:tab w:val="left" w:pos="420"/>
          <w:tab w:val="left" w:pos="1080"/>
        </w:tabs>
        <w:spacing w:line="360" w:lineRule="auto"/>
        <w:outlineLvl w:val="2"/>
        <w:rPr>
          <w:b/>
          <w:bCs/>
          <w:sz w:val="24"/>
        </w:rPr>
      </w:pPr>
      <w:r>
        <w:rPr>
          <w:rFonts w:hint="eastAsia"/>
          <w:b/>
          <w:bCs/>
          <w:sz w:val="24"/>
        </w:rPr>
        <w:t xml:space="preserve">3.2.1 网络 </w:t>
      </w:r>
    </w:p>
    <w:p>
      <w:pPr>
        <w:spacing w:line="360" w:lineRule="auto"/>
        <w:ind w:firstLine="480" w:firstLineChars="200"/>
        <w:rPr>
          <w:rFonts w:hAnsi="宋体"/>
          <w:sz w:val="24"/>
        </w:rPr>
      </w:pPr>
      <w:r>
        <w:rPr>
          <w:rFonts w:hint="eastAsia" w:hAnsi="宋体"/>
          <w:sz w:val="24"/>
        </w:rPr>
        <w:t>本项目第二次信息公示在薛城区政府网站，符合《环境影响评价公众参与办法》要求。公示时间为</w:t>
      </w:r>
      <w:r>
        <w:rPr>
          <w:rFonts w:hint="eastAsia" w:ascii="宋体" w:hAnsi="宋体" w:eastAsia="宋体" w:cs="宋体"/>
          <w:sz w:val="24"/>
          <w:highlight w:val="none"/>
        </w:rPr>
        <w:t>2020.3.10</w:t>
      </w:r>
      <w:r>
        <w:rPr>
          <w:rFonts w:hint="eastAsia" w:ascii="宋体" w:hAnsi="宋体" w:cs="宋体"/>
          <w:sz w:val="24"/>
          <w:highlight w:val="none"/>
          <w:lang w:val="en-US" w:eastAsia="zh-CN"/>
        </w:rPr>
        <w:t>-</w:t>
      </w:r>
      <w:r>
        <w:rPr>
          <w:rFonts w:hint="eastAsia" w:ascii="宋体" w:hAnsi="宋体" w:eastAsia="宋体" w:cs="宋体"/>
          <w:sz w:val="24"/>
          <w:highlight w:val="none"/>
        </w:rPr>
        <w:t>2020.3.23</w:t>
      </w:r>
      <w:r>
        <w:rPr>
          <w:rFonts w:hint="eastAsia" w:ascii="宋体" w:hAnsi="宋体" w:eastAsia="宋体" w:cs="宋体"/>
          <w:sz w:val="24"/>
        </w:rPr>
        <w:t>。</w:t>
      </w:r>
    </w:p>
    <w:p>
      <w:pPr>
        <w:spacing w:line="360" w:lineRule="auto"/>
        <w:ind w:firstLine="480" w:firstLineChars="200"/>
      </w:pPr>
      <w:r>
        <w:rPr>
          <w:rFonts w:hint="eastAsia" w:hAnsi="宋体"/>
          <w:sz w:val="24"/>
        </w:rPr>
        <w:t>网址如下：</w:t>
      </w:r>
      <w:r>
        <w:fldChar w:fldCharType="begin"/>
      </w:r>
      <w:r>
        <w:instrText xml:space="preserve"> HYPERLINK "http://www.xuecheng.gov.cn/board.news.jsp?id=509" \h </w:instrText>
      </w:r>
      <w:r>
        <w:fldChar w:fldCharType="separate"/>
      </w:r>
      <w:r>
        <w:rPr>
          <w:rFonts w:eastAsia="Times New Roman"/>
          <w:color w:val="0563C1"/>
          <w:sz w:val="24"/>
          <w:u w:val="single"/>
        </w:rPr>
        <w:t>http://www.xuecheng.gov.cn</w:t>
      </w:r>
      <w:r>
        <w:rPr>
          <w:rFonts w:eastAsia="Times New Roman"/>
          <w:color w:val="0563C1"/>
          <w:sz w:val="24"/>
          <w:u w:val="single"/>
        </w:rPr>
        <w:fldChar w:fldCharType="end"/>
      </w:r>
    </w:p>
    <w:p>
      <w:pPr>
        <w:spacing w:line="360" w:lineRule="auto"/>
        <w:ind w:firstLine="480" w:firstLineChars="200"/>
        <w:rPr>
          <w:rFonts w:hAnsi="宋体"/>
          <w:sz w:val="24"/>
        </w:rPr>
      </w:pPr>
      <w:r>
        <w:rPr>
          <w:rFonts w:hint="eastAsia" w:hAnsi="宋体"/>
          <w:sz w:val="24"/>
        </w:rPr>
        <w:t>截图如下：</w:t>
      </w:r>
    </w:p>
    <w:p>
      <w:pPr>
        <w:spacing w:line="360" w:lineRule="auto"/>
        <w:rPr>
          <w:rFonts w:hAnsi="宋体"/>
          <w:sz w:val="24"/>
        </w:rPr>
      </w:pPr>
      <w:r>
        <w:rPr>
          <w:rFonts w:hint="eastAsia" w:hAnsi="宋体"/>
          <w:sz w:val="24"/>
        </w:rPr>
        <w:drawing>
          <wp:inline distT="0" distB="0" distL="114300" distR="114300">
            <wp:extent cx="5753100" cy="3587750"/>
            <wp:effectExtent l="0" t="0" r="0" b="12700"/>
            <wp:docPr id="31" name="图片 31" descr="1584417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584417233(1)"/>
                    <pic:cNvPicPr>
                      <a:picLocks noChangeAspect="1"/>
                    </pic:cNvPicPr>
                  </pic:nvPicPr>
                  <pic:blipFill>
                    <a:blip r:embed="rId8" cstate="print"/>
                    <a:stretch>
                      <a:fillRect/>
                    </a:stretch>
                  </pic:blipFill>
                  <pic:spPr>
                    <a:xfrm>
                      <a:off x="0" y="0"/>
                      <a:ext cx="5753100" cy="3587750"/>
                    </a:xfrm>
                    <a:prstGeom prst="rect">
                      <a:avLst/>
                    </a:prstGeom>
                  </pic:spPr>
                </pic:pic>
              </a:graphicData>
            </a:graphic>
          </wp:inline>
        </w:drawing>
      </w:r>
    </w:p>
    <w:p>
      <w:pPr>
        <w:spacing w:line="360" w:lineRule="auto"/>
        <w:rPr>
          <w:rFonts w:hAnsi="宋体"/>
          <w:sz w:val="24"/>
        </w:rPr>
      </w:pPr>
      <w:r>
        <w:rPr>
          <w:rFonts w:hint="eastAsia" w:hAnsi="宋体"/>
          <w:sz w:val="24"/>
        </w:rPr>
        <w:drawing>
          <wp:inline distT="0" distB="0" distL="114300" distR="114300">
            <wp:extent cx="5751195" cy="3972560"/>
            <wp:effectExtent l="0" t="0" r="1905" b="8890"/>
            <wp:docPr id="30" name="图片 30" descr="1584417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4417130(1)"/>
                    <pic:cNvPicPr>
                      <a:picLocks noChangeAspect="1"/>
                    </pic:cNvPicPr>
                  </pic:nvPicPr>
                  <pic:blipFill>
                    <a:blip r:embed="rId9" cstate="print"/>
                    <a:stretch>
                      <a:fillRect/>
                    </a:stretch>
                  </pic:blipFill>
                  <pic:spPr>
                    <a:xfrm>
                      <a:off x="0" y="0"/>
                      <a:ext cx="5751195" cy="3972560"/>
                    </a:xfrm>
                    <a:prstGeom prst="rect">
                      <a:avLst/>
                    </a:prstGeom>
                  </pic:spPr>
                </pic:pic>
              </a:graphicData>
            </a:graphic>
          </wp:inline>
        </w:drawing>
      </w:r>
    </w:p>
    <w:p>
      <w:pPr>
        <w:spacing w:line="360" w:lineRule="auto"/>
        <w:rPr>
          <w:rFonts w:hAnsi="宋体"/>
          <w:sz w:val="24"/>
        </w:rPr>
      </w:pPr>
      <w:r>
        <w:rPr>
          <w:rFonts w:hint="eastAsia" w:hAnsi="宋体"/>
          <w:sz w:val="24"/>
        </w:rPr>
        <w:drawing>
          <wp:inline distT="0" distB="0" distL="114300" distR="114300">
            <wp:extent cx="5753100" cy="4214495"/>
            <wp:effectExtent l="0" t="0" r="0" b="14605"/>
            <wp:docPr id="32" name="图片 32" descr="1584417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584417280(1)"/>
                    <pic:cNvPicPr>
                      <a:picLocks noChangeAspect="1"/>
                    </pic:cNvPicPr>
                  </pic:nvPicPr>
                  <pic:blipFill>
                    <a:blip r:embed="rId10" cstate="print"/>
                    <a:stretch>
                      <a:fillRect/>
                    </a:stretch>
                  </pic:blipFill>
                  <pic:spPr>
                    <a:xfrm>
                      <a:off x="0" y="0"/>
                      <a:ext cx="5753100" cy="4214495"/>
                    </a:xfrm>
                    <a:prstGeom prst="rect">
                      <a:avLst/>
                    </a:prstGeom>
                  </pic:spPr>
                </pic:pic>
              </a:graphicData>
            </a:graphic>
          </wp:inline>
        </w:drawing>
      </w:r>
    </w:p>
    <w:p>
      <w:pPr>
        <w:spacing w:line="360" w:lineRule="auto"/>
        <w:ind w:firstLine="480" w:firstLineChars="200"/>
        <w:jc w:val="center"/>
        <w:rPr>
          <w:rFonts w:hAnsi="黑体" w:eastAsia="黑体"/>
          <w:sz w:val="24"/>
        </w:rPr>
      </w:pPr>
      <w:r>
        <w:rPr>
          <w:rFonts w:hAnsi="黑体" w:eastAsia="黑体"/>
          <w:sz w:val="24"/>
        </w:rPr>
        <w:t>图3.2-1 第二次信息公示网页公示截图</w:t>
      </w:r>
    </w:p>
    <w:p>
      <w:pPr>
        <w:keepNext/>
        <w:keepLines/>
        <w:tabs>
          <w:tab w:val="left" w:pos="420"/>
          <w:tab w:val="left" w:pos="1080"/>
        </w:tabs>
        <w:spacing w:line="360" w:lineRule="auto"/>
        <w:outlineLvl w:val="2"/>
        <w:rPr>
          <w:b/>
          <w:bCs/>
          <w:sz w:val="24"/>
        </w:rPr>
      </w:pPr>
      <w:r>
        <w:rPr>
          <w:rFonts w:hint="eastAsia"/>
          <w:b/>
          <w:bCs/>
          <w:sz w:val="24"/>
        </w:rPr>
        <w:t xml:space="preserve">3.2.2 报纸 </w:t>
      </w:r>
    </w:p>
    <w:p>
      <w:pPr>
        <w:spacing w:line="360" w:lineRule="auto"/>
        <w:ind w:firstLine="480" w:firstLineChars="200"/>
        <w:rPr>
          <w:rFonts w:hAnsi="宋体"/>
          <w:sz w:val="24"/>
        </w:rPr>
      </w:pPr>
      <w:r>
        <w:rPr>
          <w:rFonts w:hint="eastAsia" w:hAnsi="宋体"/>
          <w:sz w:val="24"/>
        </w:rPr>
        <w:t>本项目第二次信息公示报纸公示载体为《枣庄日报》。《枣庄日报》是多年来一直是枣庄市发行量最大、社会影响力最大的报纸，本项目在该报纸上公示信息，符合《环境影响评价公众参与办法》中报纸种类的要求。</w:t>
      </w:r>
    </w:p>
    <w:p>
      <w:pPr>
        <w:spacing w:line="360" w:lineRule="auto"/>
        <w:ind w:firstLine="480" w:firstLineChars="200"/>
        <w:rPr>
          <w:rFonts w:ascii="宋体" w:hAnsi="宋体" w:cs="宋体"/>
          <w:sz w:val="24"/>
          <w:szCs w:val="24"/>
        </w:rPr>
      </w:pPr>
      <w:r>
        <w:rPr>
          <w:rFonts w:hint="eastAsia" w:hAnsi="宋体"/>
          <w:sz w:val="24"/>
        </w:rPr>
        <w:t>第二次公示分布于</w:t>
      </w:r>
      <w:r>
        <w:rPr>
          <w:rFonts w:hint="eastAsia" w:ascii="宋体" w:hAnsi="宋体" w:eastAsia="宋体" w:cs="宋体"/>
          <w:sz w:val="24"/>
        </w:rPr>
        <w:t>2020年3月11日和2020年3月</w:t>
      </w:r>
      <w:r>
        <w:rPr>
          <w:rFonts w:hint="eastAsia" w:ascii="宋体" w:hAnsi="宋体" w:eastAsia="宋体" w:cs="宋体"/>
          <w:sz w:val="24"/>
          <w:highlight w:val="none"/>
        </w:rPr>
        <w:t>16</w:t>
      </w:r>
      <w:r>
        <w:rPr>
          <w:rFonts w:hint="eastAsia" w:hAnsi="宋体"/>
          <w:sz w:val="24"/>
          <w:highlight w:val="none"/>
        </w:rPr>
        <w:t>日</w:t>
      </w:r>
      <w:r>
        <w:rPr>
          <w:rFonts w:hint="eastAsia" w:hAnsi="宋体"/>
          <w:sz w:val="24"/>
        </w:rPr>
        <w:t>在枣庄日报公示了本项目内容。</w:t>
      </w:r>
    </w:p>
    <w:p>
      <w:pPr>
        <w:pStyle w:val="5"/>
        <w:jc w:val="center"/>
        <w:rPr>
          <w:rFonts w:hint="eastAsia" w:ascii="黑体" w:hAnsi="黑体" w:eastAsia="黑体" w:cs="黑体"/>
          <w:b w:val="0"/>
          <w:bCs w:val="0"/>
          <w:sz w:val="20"/>
          <w:szCs w:val="20"/>
        </w:rPr>
      </w:pPr>
      <w:r>
        <w:rPr>
          <w:rFonts w:hint="eastAsia" w:ascii="黑体" w:hAnsi="黑体" w:eastAsia="黑体" w:cs="黑体"/>
          <w:b w:val="0"/>
          <w:bCs w:val="0"/>
          <w:sz w:val="20"/>
          <w:szCs w:val="20"/>
        </w:rPr>
        <w:t>第一次报纸公示（2020.3.11）</w:t>
      </w:r>
    </w:p>
    <w:p>
      <w:r>
        <w:rPr>
          <w:rFonts w:hint="eastAsia"/>
        </w:rPr>
        <w:drawing>
          <wp:inline distT="0" distB="0" distL="114300" distR="114300">
            <wp:extent cx="5756910" cy="6819900"/>
            <wp:effectExtent l="0" t="0" r="15240" b="0"/>
            <wp:docPr id="23" name="图片 23" descr="1584414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584414902(1)"/>
                    <pic:cNvPicPr>
                      <a:picLocks noChangeAspect="1"/>
                    </pic:cNvPicPr>
                  </pic:nvPicPr>
                  <pic:blipFill>
                    <a:blip r:embed="rId11" cstate="print"/>
                    <a:stretch>
                      <a:fillRect/>
                    </a:stretch>
                  </pic:blipFill>
                  <pic:spPr>
                    <a:xfrm>
                      <a:off x="0" y="0"/>
                      <a:ext cx="5756910" cy="6819900"/>
                    </a:xfrm>
                    <a:prstGeom prst="rect">
                      <a:avLst/>
                    </a:prstGeom>
                  </pic:spPr>
                </pic:pic>
              </a:graphicData>
            </a:graphic>
          </wp:inline>
        </w:drawing>
      </w:r>
    </w:p>
    <w:p>
      <w:pPr>
        <w:spacing w:line="360" w:lineRule="auto"/>
        <w:rPr>
          <w:rFonts w:hAnsi="宋体"/>
          <w:sz w:val="24"/>
        </w:rPr>
      </w:pPr>
      <w:r>
        <w:rPr>
          <w:rFonts w:hint="eastAsia"/>
        </w:rPr>
        <w:drawing>
          <wp:inline distT="0" distB="0" distL="114300" distR="114300">
            <wp:extent cx="5755640" cy="4267835"/>
            <wp:effectExtent l="0" t="0" r="16510" b="18415"/>
            <wp:docPr id="4" name="图片 4" descr="1584414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84414007(1)"/>
                    <pic:cNvPicPr>
                      <a:picLocks noChangeAspect="1"/>
                    </pic:cNvPicPr>
                  </pic:nvPicPr>
                  <pic:blipFill>
                    <a:blip r:embed="rId12" cstate="print"/>
                    <a:stretch>
                      <a:fillRect/>
                    </a:stretch>
                  </pic:blipFill>
                  <pic:spPr>
                    <a:xfrm>
                      <a:off x="0" y="0"/>
                      <a:ext cx="5755640" cy="4267835"/>
                    </a:xfrm>
                    <a:prstGeom prst="rect">
                      <a:avLst/>
                    </a:prstGeom>
                  </pic:spPr>
                </pic:pic>
              </a:graphicData>
            </a:graphic>
          </wp:inline>
        </w:drawing>
      </w:r>
    </w:p>
    <w:p>
      <w:pPr>
        <w:pStyle w:val="5"/>
        <w:ind w:firstLine="2600" w:firstLineChars="1300"/>
        <w:rPr>
          <w:rFonts w:hint="eastAsia" w:ascii="黑体" w:hAnsi="黑体" w:eastAsia="黑体" w:cs="黑体"/>
        </w:rPr>
      </w:pPr>
      <w:r>
        <w:rPr>
          <w:rFonts w:hint="eastAsia" w:ascii="黑体" w:hAnsi="黑体" w:eastAsia="黑体" w:cs="黑体"/>
        </w:rPr>
        <w:t>第二次报纸公示（2020.3.16）</w:t>
      </w:r>
    </w:p>
    <w:p>
      <w:r>
        <w:rPr>
          <w:rFonts w:hint="eastAsia"/>
        </w:rPr>
        <w:drawing>
          <wp:inline distT="0" distB="0" distL="114300" distR="114300">
            <wp:extent cx="5758180" cy="4207510"/>
            <wp:effectExtent l="0" t="0" r="13970" b="2540"/>
            <wp:docPr id="10" name="图片 10" descr="15844145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84414579(1)"/>
                    <pic:cNvPicPr>
                      <a:picLocks noChangeAspect="1"/>
                    </pic:cNvPicPr>
                  </pic:nvPicPr>
                  <pic:blipFill>
                    <a:blip r:embed="rId13" cstate="print"/>
                    <a:stretch>
                      <a:fillRect/>
                    </a:stretch>
                  </pic:blipFill>
                  <pic:spPr>
                    <a:xfrm>
                      <a:off x="0" y="0"/>
                      <a:ext cx="5758180" cy="4207510"/>
                    </a:xfrm>
                    <a:prstGeom prst="rect">
                      <a:avLst/>
                    </a:prstGeom>
                  </pic:spPr>
                </pic:pic>
              </a:graphicData>
            </a:graphic>
          </wp:inline>
        </w:drawing>
      </w:r>
    </w:p>
    <w:p>
      <w:r>
        <w:rPr>
          <w:rFonts w:hint="eastAsia"/>
        </w:rPr>
        <w:drawing>
          <wp:inline distT="0" distB="0" distL="114300" distR="114300">
            <wp:extent cx="5758180" cy="4020820"/>
            <wp:effectExtent l="0" t="0" r="13970" b="17780"/>
            <wp:docPr id="21" name="图片 21" descr="158441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584414717"/>
                    <pic:cNvPicPr>
                      <a:picLocks noChangeAspect="1"/>
                    </pic:cNvPicPr>
                  </pic:nvPicPr>
                  <pic:blipFill>
                    <a:blip r:embed="rId14" cstate="print"/>
                    <a:stretch>
                      <a:fillRect/>
                    </a:stretch>
                  </pic:blipFill>
                  <pic:spPr>
                    <a:xfrm>
                      <a:off x="0" y="0"/>
                      <a:ext cx="5758180" cy="4020820"/>
                    </a:xfrm>
                    <a:prstGeom prst="rect">
                      <a:avLst/>
                    </a:prstGeom>
                  </pic:spPr>
                </pic:pic>
              </a:graphicData>
            </a:graphic>
          </wp:inline>
        </w:drawing>
      </w:r>
    </w:p>
    <w:p>
      <w:pPr>
        <w:spacing w:line="360" w:lineRule="auto"/>
        <w:ind w:firstLine="480" w:firstLineChars="200"/>
        <w:jc w:val="center"/>
        <w:rPr>
          <w:rFonts w:hAnsi="黑体" w:eastAsia="黑体"/>
          <w:sz w:val="24"/>
        </w:rPr>
      </w:pPr>
      <w:r>
        <w:rPr>
          <w:rFonts w:hint="eastAsia" w:hAnsi="黑体" w:eastAsia="黑体"/>
          <w:sz w:val="24"/>
        </w:rPr>
        <w:t>图3.2-2 第二次信息报纸公示照片</w:t>
      </w:r>
    </w:p>
    <w:p>
      <w:pPr>
        <w:keepNext/>
        <w:keepLines/>
        <w:tabs>
          <w:tab w:val="left" w:pos="420"/>
          <w:tab w:val="left" w:pos="1080"/>
        </w:tabs>
        <w:spacing w:line="360" w:lineRule="auto"/>
        <w:outlineLvl w:val="2"/>
        <w:rPr>
          <w:b/>
          <w:bCs/>
          <w:sz w:val="24"/>
        </w:rPr>
      </w:pPr>
      <w:r>
        <w:rPr>
          <w:rFonts w:hint="eastAsia"/>
          <w:b/>
          <w:bCs/>
          <w:sz w:val="24"/>
        </w:rPr>
        <w:t xml:space="preserve">3.2.3 张贴 </w:t>
      </w:r>
    </w:p>
    <w:p>
      <w:pPr>
        <w:spacing w:line="360" w:lineRule="auto"/>
        <w:ind w:firstLine="480" w:firstLineChars="200"/>
        <w:rPr>
          <w:sz w:val="24"/>
        </w:rPr>
      </w:pPr>
      <w:r>
        <w:rPr>
          <w:rFonts w:hint="eastAsia" w:hAnsi="宋体"/>
          <w:sz w:val="24"/>
        </w:rPr>
        <w:t>本项目第二次公示选择项目周围受影响的村庄，在各村庄公告栏或村委会等处进行了信息张贴公示，分别对厂址周围10个村庄进行了张贴；张贴时间为</w:t>
      </w:r>
      <w:r>
        <w:rPr>
          <w:rFonts w:hint="eastAsia" w:ascii="宋体" w:hAnsi="宋体" w:eastAsia="宋体" w:cs="宋体"/>
          <w:sz w:val="24"/>
          <w:szCs w:val="24"/>
        </w:rPr>
        <w:t>2020.3.1</w:t>
      </w:r>
      <w:r>
        <w:rPr>
          <w:rFonts w:hint="eastAsia" w:ascii="宋体" w:hAnsi="宋体" w:cs="宋体"/>
          <w:sz w:val="24"/>
          <w:szCs w:val="24"/>
          <w:lang w:val="en-US" w:eastAsia="zh-CN"/>
        </w:rPr>
        <w:t>0-</w:t>
      </w:r>
      <w:r>
        <w:rPr>
          <w:rFonts w:hint="eastAsia" w:ascii="宋体" w:hAnsi="宋体" w:eastAsia="宋体" w:cs="宋体"/>
          <w:sz w:val="24"/>
          <w:szCs w:val="24"/>
        </w:rPr>
        <w:t>2020.3.</w:t>
      </w:r>
      <w:r>
        <w:rPr>
          <w:rFonts w:hint="eastAsia" w:ascii="宋体" w:hAnsi="宋体" w:cs="宋体"/>
          <w:sz w:val="24"/>
          <w:szCs w:val="24"/>
          <w:lang w:val="en-US" w:eastAsia="zh-CN"/>
        </w:rPr>
        <w:t>12</w:t>
      </w:r>
      <w:r>
        <w:rPr>
          <w:rFonts w:hint="eastAsia" w:hAnsi="宋体"/>
          <w:sz w:val="24"/>
          <w:szCs w:val="24"/>
        </w:rPr>
        <w:t>，</w:t>
      </w:r>
      <w:r>
        <w:rPr>
          <w:rFonts w:hint="eastAsia" w:hAnsi="宋体"/>
          <w:sz w:val="24"/>
        </w:rPr>
        <w:t>符合《环境影响评价公众参与办法》相关规定。</w:t>
      </w:r>
    </w:p>
    <w:p>
      <w:pPr>
        <w:tabs>
          <w:tab w:val="left" w:pos="480"/>
          <w:tab w:val="left" w:pos="960"/>
          <w:tab w:val="left" w:pos="1440"/>
          <w:tab w:val="left" w:pos="1920"/>
          <w:tab w:val="left" w:pos="2400"/>
          <w:tab w:val="left" w:pos="2880"/>
          <w:tab w:val="left" w:pos="3360"/>
          <w:tab w:val="left" w:pos="3840"/>
          <w:tab w:val="left" w:pos="4320"/>
        </w:tabs>
        <w:spacing w:line="360" w:lineRule="auto"/>
        <w:jc w:val="center"/>
        <w:rPr>
          <w:sz w:val="24"/>
        </w:rPr>
      </w:pPr>
      <w:r>
        <w:rPr>
          <w:rFonts w:hint="eastAsia"/>
          <w:sz w:val="24"/>
        </w:rPr>
        <w:drawing>
          <wp:inline distT="0" distB="0" distL="114300" distR="114300">
            <wp:extent cx="5735320" cy="3074035"/>
            <wp:effectExtent l="0" t="0" r="17780" b="12065"/>
            <wp:docPr id="11" name="图片 11" descr="陶庄镇政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陶庄镇政府1"/>
                    <pic:cNvPicPr>
                      <a:picLocks noChangeAspect="1"/>
                    </pic:cNvPicPr>
                  </pic:nvPicPr>
                  <pic:blipFill>
                    <a:blip r:embed="rId15" cstate="print"/>
                    <a:stretch>
                      <a:fillRect/>
                    </a:stretch>
                  </pic:blipFill>
                  <pic:spPr>
                    <a:xfrm>
                      <a:off x="0" y="0"/>
                      <a:ext cx="5735320" cy="3074035"/>
                    </a:xfrm>
                    <a:prstGeom prst="rect">
                      <a:avLst/>
                    </a:prstGeom>
                  </pic:spPr>
                </pic:pic>
              </a:graphicData>
            </a:graphic>
          </wp:inline>
        </w:drawing>
      </w:r>
    </w:p>
    <w:p>
      <w:pPr>
        <w:tabs>
          <w:tab w:val="left" w:pos="480"/>
          <w:tab w:val="left" w:pos="960"/>
          <w:tab w:val="left" w:pos="1440"/>
          <w:tab w:val="left" w:pos="1920"/>
          <w:tab w:val="left" w:pos="2400"/>
          <w:tab w:val="left" w:pos="2880"/>
          <w:tab w:val="left" w:pos="3360"/>
          <w:tab w:val="left" w:pos="3840"/>
          <w:tab w:val="left" w:pos="4320"/>
        </w:tabs>
        <w:spacing w:line="360" w:lineRule="auto"/>
        <w:jc w:val="center"/>
        <w:rPr>
          <w:sz w:val="24"/>
        </w:rPr>
      </w:pPr>
      <w:r>
        <w:rPr>
          <w:rFonts w:hint="eastAsia"/>
          <w:sz w:val="24"/>
        </w:rPr>
        <w:drawing>
          <wp:inline distT="0" distB="0" distL="114300" distR="114300">
            <wp:extent cx="5742305" cy="4328795"/>
            <wp:effectExtent l="0" t="0" r="10795" b="14605"/>
            <wp:docPr id="12" name="图片 12" descr="左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左村1"/>
                    <pic:cNvPicPr>
                      <a:picLocks noChangeAspect="1"/>
                    </pic:cNvPicPr>
                  </pic:nvPicPr>
                  <pic:blipFill>
                    <a:blip r:embed="rId16" cstate="print"/>
                    <a:stretch>
                      <a:fillRect/>
                    </a:stretch>
                  </pic:blipFill>
                  <pic:spPr>
                    <a:xfrm>
                      <a:off x="0" y="0"/>
                      <a:ext cx="5742305" cy="4328795"/>
                    </a:xfrm>
                    <a:prstGeom prst="rect">
                      <a:avLst/>
                    </a:prstGeom>
                  </pic:spPr>
                </pic:pic>
              </a:graphicData>
            </a:graphic>
          </wp:inline>
        </w:drawing>
      </w:r>
    </w:p>
    <w:p>
      <w:pPr>
        <w:tabs>
          <w:tab w:val="left" w:pos="480"/>
          <w:tab w:val="left" w:pos="960"/>
          <w:tab w:val="left" w:pos="1440"/>
          <w:tab w:val="left" w:pos="1920"/>
          <w:tab w:val="left" w:pos="2400"/>
          <w:tab w:val="left" w:pos="2880"/>
          <w:tab w:val="left" w:pos="3360"/>
          <w:tab w:val="left" w:pos="3840"/>
          <w:tab w:val="left" w:pos="4320"/>
        </w:tabs>
        <w:spacing w:line="360" w:lineRule="auto"/>
        <w:jc w:val="center"/>
        <w:rPr>
          <w:sz w:val="24"/>
        </w:rPr>
      </w:pPr>
      <w:r>
        <w:rPr>
          <w:rFonts w:hint="eastAsia"/>
          <w:sz w:val="24"/>
        </w:rPr>
        <w:drawing>
          <wp:inline distT="0" distB="0" distL="114300" distR="114300">
            <wp:extent cx="5735320" cy="4427855"/>
            <wp:effectExtent l="0" t="0" r="17780" b="10795"/>
            <wp:docPr id="13" name="图片 13" descr="官庄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官庄村1"/>
                    <pic:cNvPicPr>
                      <a:picLocks noChangeAspect="1"/>
                    </pic:cNvPicPr>
                  </pic:nvPicPr>
                  <pic:blipFill>
                    <a:blip r:embed="rId17" cstate="print"/>
                    <a:stretch>
                      <a:fillRect/>
                    </a:stretch>
                  </pic:blipFill>
                  <pic:spPr>
                    <a:xfrm>
                      <a:off x="0" y="0"/>
                      <a:ext cx="5735320" cy="4427855"/>
                    </a:xfrm>
                    <a:prstGeom prst="rect">
                      <a:avLst/>
                    </a:prstGeom>
                  </pic:spPr>
                </pic:pic>
              </a:graphicData>
            </a:graphic>
          </wp:inline>
        </w:drawing>
      </w:r>
    </w:p>
    <w:p>
      <w:pPr>
        <w:tabs>
          <w:tab w:val="left" w:pos="480"/>
          <w:tab w:val="left" w:pos="960"/>
          <w:tab w:val="left" w:pos="1440"/>
          <w:tab w:val="left" w:pos="1920"/>
          <w:tab w:val="left" w:pos="2400"/>
          <w:tab w:val="left" w:pos="2880"/>
          <w:tab w:val="left" w:pos="3360"/>
          <w:tab w:val="left" w:pos="3840"/>
          <w:tab w:val="left" w:pos="4320"/>
        </w:tabs>
        <w:spacing w:line="360" w:lineRule="auto"/>
        <w:jc w:val="center"/>
        <w:rPr>
          <w:sz w:val="24"/>
        </w:rPr>
      </w:pPr>
      <w:r>
        <w:rPr>
          <w:rFonts w:hint="eastAsia"/>
          <w:sz w:val="24"/>
        </w:rPr>
        <w:drawing>
          <wp:inline distT="0" distB="0" distL="114300" distR="114300">
            <wp:extent cx="5735320" cy="4443095"/>
            <wp:effectExtent l="0" t="0" r="17780" b="14605"/>
            <wp:docPr id="14" name="图片 14" descr="齐湖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齐湖村2"/>
                    <pic:cNvPicPr>
                      <a:picLocks noChangeAspect="1"/>
                    </pic:cNvPicPr>
                  </pic:nvPicPr>
                  <pic:blipFill>
                    <a:blip r:embed="rId18" cstate="print"/>
                    <a:stretch>
                      <a:fillRect/>
                    </a:stretch>
                  </pic:blipFill>
                  <pic:spPr>
                    <a:xfrm>
                      <a:off x="0" y="0"/>
                      <a:ext cx="5735320" cy="4443095"/>
                    </a:xfrm>
                    <a:prstGeom prst="rect">
                      <a:avLst/>
                    </a:prstGeom>
                  </pic:spPr>
                </pic:pic>
              </a:graphicData>
            </a:graphic>
          </wp:inline>
        </w:drawing>
      </w:r>
    </w:p>
    <w:p>
      <w:pPr>
        <w:tabs>
          <w:tab w:val="left" w:pos="480"/>
          <w:tab w:val="left" w:pos="960"/>
          <w:tab w:val="left" w:pos="1440"/>
          <w:tab w:val="left" w:pos="1920"/>
          <w:tab w:val="left" w:pos="2400"/>
          <w:tab w:val="left" w:pos="2880"/>
          <w:tab w:val="left" w:pos="3360"/>
          <w:tab w:val="left" w:pos="3840"/>
          <w:tab w:val="left" w:pos="4320"/>
        </w:tabs>
        <w:spacing w:line="360" w:lineRule="auto"/>
        <w:jc w:val="center"/>
        <w:rPr>
          <w:sz w:val="24"/>
        </w:rPr>
      </w:pPr>
      <w:r>
        <w:rPr>
          <w:rFonts w:hint="eastAsia"/>
          <w:sz w:val="24"/>
        </w:rPr>
        <w:drawing>
          <wp:inline distT="0" distB="0" distL="114300" distR="114300">
            <wp:extent cx="5735320" cy="4226560"/>
            <wp:effectExtent l="0" t="0" r="17780" b="2540"/>
            <wp:docPr id="15" name="图片 15" descr="西防备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西防备村1"/>
                    <pic:cNvPicPr>
                      <a:picLocks noChangeAspect="1"/>
                    </pic:cNvPicPr>
                  </pic:nvPicPr>
                  <pic:blipFill>
                    <a:blip r:embed="rId19" cstate="print"/>
                    <a:stretch>
                      <a:fillRect/>
                    </a:stretch>
                  </pic:blipFill>
                  <pic:spPr>
                    <a:xfrm>
                      <a:off x="0" y="0"/>
                      <a:ext cx="5735320" cy="4226560"/>
                    </a:xfrm>
                    <a:prstGeom prst="rect">
                      <a:avLst/>
                    </a:prstGeom>
                  </pic:spPr>
                </pic:pic>
              </a:graphicData>
            </a:graphic>
          </wp:inline>
        </w:drawing>
      </w:r>
      <w:r>
        <w:rPr>
          <w:rFonts w:hint="eastAsia"/>
          <w:sz w:val="24"/>
        </w:rPr>
        <w:drawing>
          <wp:inline distT="0" distB="0" distL="114300" distR="114300">
            <wp:extent cx="5735320" cy="4301490"/>
            <wp:effectExtent l="0" t="0" r="17780" b="3810"/>
            <wp:docPr id="16" name="图片 16" descr="唐庄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唐庄村1"/>
                    <pic:cNvPicPr>
                      <a:picLocks noChangeAspect="1"/>
                    </pic:cNvPicPr>
                  </pic:nvPicPr>
                  <pic:blipFill>
                    <a:blip r:embed="rId20" cstate="print"/>
                    <a:stretch>
                      <a:fillRect/>
                    </a:stretch>
                  </pic:blipFill>
                  <pic:spPr>
                    <a:xfrm>
                      <a:off x="0" y="0"/>
                      <a:ext cx="5735320" cy="4301490"/>
                    </a:xfrm>
                    <a:prstGeom prst="rect">
                      <a:avLst/>
                    </a:prstGeom>
                  </pic:spPr>
                </pic:pic>
              </a:graphicData>
            </a:graphic>
          </wp:inline>
        </w:drawing>
      </w:r>
    </w:p>
    <w:p>
      <w:pPr>
        <w:tabs>
          <w:tab w:val="left" w:pos="480"/>
          <w:tab w:val="left" w:pos="960"/>
          <w:tab w:val="left" w:pos="1440"/>
          <w:tab w:val="left" w:pos="1920"/>
          <w:tab w:val="left" w:pos="2400"/>
          <w:tab w:val="left" w:pos="2880"/>
          <w:tab w:val="left" w:pos="3360"/>
          <w:tab w:val="left" w:pos="3840"/>
          <w:tab w:val="left" w:pos="4320"/>
        </w:tabs>
        <w:spacing w:line="360" w:lineRule="auto"/>
        <w:jc w:val="center"/>
        <w:rPr>
          <w:sz w:val="24"/>
        </w:rPr>
      </w:pPr>
      <w:r>
        <w:rPr>
          <w:rFonts w:hint="eastAsia"/>
          <w:sz w:val="24"/>
        </w:rPr>
        <w:drawing>
          <wp:inline distT="0" distB="0" distL="114300" distR="114300">
            <wp:extent cx="5735320" cy="4404995"/>
            <wp:effectExtent l="0" t="0" r="17780" b="14605"/>
            <wp:docPr id="20" name="图片 20" descr="天齐庙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天齐庙村2"/>
                    <pic:cNvPicPr>
                      <a:picLocks noChangeAspect="1"/>
                    </pic:cNvPicPr>
                  </pic:nvPicPr>
                  <pic:blipFill>
                    <a:blip r:embed="rId21" cstate="print"/>
                    <a:stretch>
                      <a:fillRect/>
                    </a:stretch>
                  </pic:blipFill>
                  <pic:spPr>
                    <a:xfrm>
                      <a:off x="0" y="0"/>
                      <a:ext cx="5735320" cy="4404995"/>
                    </a:xfrm>
                    <a:prstGeom prst="rect">
                      <a:avLst/>
                    </a:prstGeom>
                  </pic:spPr>
                </pic:pic>
              </a:graphicData>
            </a:graphic>
          </wp:inline>
        </w:drawing>
      </w:r>
    </w:p>
    <w:p>
      <w:pPr>
        <w:tabs>
          <w:tab w:val="left" w:pos="480"/>
          <w:tab w:val="left" w:pos="960"/>
          <w:tab w:val="left" w:pos="1440"/>
          <w:tab w:val="left" w:pos="1920"/>
          <w:tab w:val="left" w:pos="2400"/>
          <w:tab w:val="left" w:pos="2880"/>
          <w:tab w:val="left" w:pos="3360"/>
          <w:tab w:val="left" w:pos="3840"/>
          <w:tab w:val="left" w:pos="4320"/>
        </w:tabs>
        <w:spacing w:line="360" w:lineRule="auto"/>
        <w:jc w:val="center"/>
        <w:rPr>
          <w:rFonts w:eastAsia="黑体"/>
          <w:sz w:val="24"/>
        </w:rPr>
      </w:pPr>
      <w:r>
        <w:rPr>
          <w:rFonts w:hint="eastAsia"/>
          <w:sz w:val="24"/>
        </w:rPr>
        <w:drawing>
          <wp:inline distT="0" distB="0" distL="114300" distR="114300">
            <wp:extent cx="5735320" cy="4301490"/>
            <wp:effectExtent l="0" t="0" r="17780" b="3810"/>
            <wp:docPr id="17" name="图片 17" descr="钓鱼台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钓鱼台村1"/>
                    <pic:cNvPicPr>
                      <a:picLocks noChangeAspect="1"/>
                    </pic:cNvPicPr>
                  </pic:nvPicPr>
                  <pic:blipFill>
                    <a:blip r:embed="rId22" cstate="print"/>
                    <a:stretch>
                      <a:fillRect/>
                    </a:stretch>
                  </pic:blipFill>
                  <pic:spPr>
                    <a:xfrm>
                      <a:off x="0" y="0"/>
                      <a:ext cx="5735320" cy="4301490"/>
                    </a:xfrm>
                    <a:prstGeom prst="rect">
                      <a:avLst/>
                    </a:prstGeom>
                  </pic:spPr>
                </pic:pic>
              </a:graphicData>
            </a:graphic>
          </wp:inline>
        </w:drawing>
      </w:r>
      <w:r>
        <w:rPr>
          <w:rFonts w:hint="eastAsia"/>
          <w:sz w:val="24"/>
        </w:rPr>
        <w:drawing>
          <wp:inline distT="0" distB="0" distL="114300" distR="114300">
            <wp:extent cx="5735320" cy="4404995"/>
            <wp:effectExtent l="0" t="0" r="17780" b="14605"/>
            <wp:docPr id="18" name="图片 18" descr="黄山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黄山村2"/>
                    <pic:cNvPicPr>
                      <a:picLocks noChangeAspect="1"/>
                    </pic:cNvPicPr>
                  </pic:nvPicPr>
                  <pic:blipFill>
                    <a:blip r:embed="rId23" cstate="print"/>
                    <a:stretch>
                      <a:fillRect/>
                    </a:stretch>
                  </pic:blipFill>
                  <pic:spPr>
                    <a:xfrm>
                      <a:off x="0" y="0"/>
                      <a:ext cx="5735320" cy="4404995"/>
                    </a:xfrm>
                    <a:prstGeom prst="rect">
                      <a:avLst/>
                    </a:prstGeom>
                  </pic:spPr>
                </pic:pic>
              </a:graphicData>
            </a:graphic>
          </wp:inline>
        </w:drawing>
      </w:r>
      <w:r>
        <w:rPr>
          <w:rFonts w:hint="eastAsia"/>
          <w:sz w:val="24"/>
        </w:rPr>
        <w:drawing>
          <wp:inline distT="0" distB="0" distL="114300" distR="114300">
            <wp:extent cx="5735320" cy="3446145"/>
            <wp:effectExtent l="0" t="0" r="17780" b="1905"/>
            <wp:docPr id="19" name="图片 19" descr="西辛庄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西辛庄村1"/>
                    <pic:cNvPicPr>
                      <a:picLocks noChangeAspect="1"/>
                    </pic:cNvPicPr>
                  </pic:nvPicPr>
                  <pic:blipFill>
                    <a:blip r:embed="rId24" cstate="print"/>
                    <a:stretch>
                      <a:fillRect/>
                    </a:stretch>
                  </pic:blipFill>
                  <pic:spPr>
                    <a:xfrm>
                      <a:off x="0" y="0"/>
                      <a:ext cx="5735320" cy="3446145"/>
                    </a:xfrm>
                    <a:prstGeom prst="rect">
                      <a:avLst/>
                    </a:prstGeom>
                  </pic:spPr>
                </pic:pic>
              </a:graphicData>
            </a:graphic>
          </wp:inline>
        </w:drawing>
      </w:r>
      <w:r>
        <w:rPr>
          <w:rFonts w:hAnsi="黑体" w:eastAsia="黑体"/>
          <w:sz w:val="24"/>
        </w:rPr>
        <w:t>图</w:t>
      </w:r>
      <w:r>
        <w:rPr>
          <w:rFonts w:eastAsia="黑体"/>
          <w:sz w:val="24"/>
        </w:rPr>
        <w:t xml:space="preserve">3.2-3  </w:t>
      </w:r>
      <w:r>
        <w:rPr>
          <w:rFonts w:hAnsi="黑体" w:eastAsia="黑体"/>
          <w:sz w:val="24"/>
        </w:rPr>
        <w:t>第二次信息公示张贴公示照片</w:t>
      </w:r>
    </w:p>
    <w:p>
      <w:pPr>
        <w:keepNext/>
        <w:tabs>
          <w:tab w:val="left" w:pos="420"/>
          <w:tab w:val="left" w:pos="576"/>
          <w:tab w:val="left" w:pos="3150"/>
        </w:tabs>
        <w:spacing w:line="360" w:lineRule="auto"/>
        <w:outlineLvl w:val="1"/>
        <w:rPr>
          <w:rFonts w:eastAsia="黑体"/>
          <w:iCs/>
          <w:sz w:val="28"/>
          <w:szCs w:val="28"/>
        </w:rPr>
      </w:pPr>
      <w:r>
        <w:rPr>
          <w:rFonts w:hint="eastAsia" w:eastAsia="黑体"/>
          <w:iCs/>
          <w:sz w:val="28"/>
          <w:szCs w:val="28"/>
        </w:rPr>
        <w:t xml:space="preserve">3.3查阅情况 </w:t>
      </w:r>
    </w:p>
    <w:p>
      <w:pPr>
        <w:spacing w:line="360" w:lineRule="auto"/>
        <w:ind w:firstLine="480" w:firstLineChars="200"/>
        <w:rPr>
          <w:rFonts w:hAnsi="宋体"/>
          <w:sz w:val="24"/>
        </w:rPr>
      </w:pPr>
      <w:r>
        <w:rPr>
          <w:rFonts w:hint="eastAsia" w:hAnsi="宋体"/>
          <w:sz w:val="24"/>
        </w:rPr>
        <w:t>公示张贴现场有部分村民驻足查看，报告书纸质版征求意见稿查阅场所设在项目厂区，有部分关心本项目建设的村民前来查阅。均未提出反对意见。</w:t>
      </w:r>
    </w:p>
    <w:p>
      <w:pPr>
        <w:keepNext/>
        <w:tabs>
          <w:tab w:val="left" w:pos="420"/>
          <w:tab w:val="left" w:pos="576"/>
          <w:tab w:val="left" w:pos="3150"/>
        </w:tabs>
        <w:spacing w:line="360" w:lineRule="auto"/>
        <w:outlineLvl w:val="1"/>
        <w:rPr>
          <w:rFonts w:eastAsia="黑体"/>
          <w:iCs/>
          <w:sz w:val="28"/>
          <w:szCs w:val="28"/>
        </w:rPr>
      </w:pPr>
      <w:r>
        <w:rPr>
          <w:rFonts w:hint="eastAsia" w:eastAsia="黑体"/>
          <w:iCs/>
          <w:sz w:val="28"/>
          <w:szCs w:val="28"/>
        </w:rPr>
        <w:t xml:space="preserve">3.4公众提出意见情况 </w:t>
      </w:r>
    </w:p>
    <w:p>
      <w:pPr>
        <w:spacing w:line="360" w:lineRule="auto"/>
        <w:ind w:firstLine="480" w:firstLineChars="200"/>
        <w:rPr>
          <w:rFonts w:hAnsi="宋体"/>
          <w:sz w:val="24"/>
        </w:rPr>
      </w:pPr>
      <w:r>
        <w:rPr>
          <w:rFonts w:hint="eastAsia" w:hAnsi="宋体"/>
          <w:sz w:val="24"/>
        </w:rPr>
        <w:t>未收到有公众提出出反对意见。</w:t>
      </w:r>
    </w:p>
    <w:p>
      <w:pPr>
        <w:keepNext/>
        <w:keepLines/>
        <w:tabs>
          <w:tab w:val="left" w:pos="432"/>
        </w:tabs>
        <w:autoSpaceDN w:val="0"/>
        <w:spacing w:line="360" w:lineRule="auto"/>
        <w:outlineLvl w:val="0"/>
        <w:rPr>
          <w:rFonts w:eastAsiaTheme="majorEastAsia"/>
          <w:b/>
          <w:bCs/>
          <w:kern w:val="44"/>
          <w:sz w:val="32"/>
          <w:szCs w:val="32"/>
        </w:rPr>
      </w:pPr>
      <w:r>
        <w:rPr>
          <w:rFonts w:hint="eastAsia" w:eastAsiaTheme="majorEastAsia"/>
          <w:b/>
          <w:bCs/>
          <w:kern w:val="44"/>
          <w:sz w:val="32"/>
          <w:szCs w:val="32"/>
        </w:rPr>
        <w:t xml:space="preserve">4 其他公众参与情况 </w:t>
      </w:r>
    </w:p>
    <w:p>
      <w:pPr>
        <w:spacing w:line="360" w:lineRule="auto"/>
        <w:ind w:firstLine="480" w:firstLineChars="200"/>
        <w:rPr>
          <w:rFonts w:hAnsi="宋体"/>
          <w:sz w:val="24"/>
        </w:rPr>
      </w:pPr>
      <w:r>
        <w:rPr>
          <w:rFonts w:hint="eastAsia" w:hAnsi="宋体"/>
          <w:sz w:val="24"/>
        </w:rPr>
        <w:t>《环境影响评价公众参与办法》中规定，对环境影响方面公众质疑性意见多的建设项目，建设单位应当组织开展深度公众参与。本项目两次公示期间均未受到公众的质疑性意见。未进行开展深度公众参与，本项目的建设可以有效解决枣庄生活垃圾处置问题，实现生活垃圾的减量化、无害化、资源化利用的问题，具有环境环保效益。</w:t>
      </w:r>
    </w:p>
    <w:p>
      <w:pPr>
        <w:keepNext/>
        <w:keepLines/>
        <w:tabs>
          <w:tab w:val="left" w:pos="432"/>
        </w:tabs>
        <w:autoSpaceDN w:val="0"/>
        <w:spacing w:line="360" w:lineRule="auto"/>
        <w:outlineLvl w:val="0"/>
        <w:rPr>
          <w:rFonts w:eastAsiaTheme="majorEastAsia"/>
          <w:b/>
          <w:bCs/>
          <w:kern w:val="44"/>
          <w:sz w:val="32"/>
          <w:szCs w:val="32"/>
        </w:rPr>
      </w:pPr>
      <w:r>
        <w:rPr>
          <w:rFonts w:hint="eastAsia" w:eastAsiaTheme="majorEastAsia"/>
          <w:b/>
          <w:bCs/>
          <w:kern w:val="44"/>
          <w:sz w:val="32"/>
          <w:szCs w:val="32"/>
        </w:rPr>
        <w:t xml:space="preserve">5 公众意见处理情况 </w:t>
      </w:r>
    </w:p>
    <w:p>
      <w:pPr>
        <w:spacing w:line="360" w:lineRule="auto"/>
        <w:ind w:firstLine="480" w:firstLineChars="200"/>
        <w:rPr>
          <w:rFonts w:hAnsi="宋体"/>
          <w:sz w:val="24"/>
        </w:rPr>
      </w:pPr>
      <w:r>
        <w:rPr>
          <w:rFonts w:hint="eastAsia" w:hAnsi="宋体"/>
          <w:sz w:val="24"/>
        </w:rPr>
        <w:t>未收到有公众提出出反对意见。</w:t>
      </w:r>
    </w:p>
    <w:p>
      <w:pPr>
        <w:keepNext/>
        <w:keepLines/>
        <w:tabs>
          <w:tab w:val="left" w:pos="432"/>
        </w:tabs>
        <w:autoSpaceDN w:val="0"/>
        <w:spacing w:line="360" w:lineRule="auto"/>
        <w:outlineLvl w:val="0"/>
        <w:rPr>
          <w:rFonts w:eastAsiaTheme="majorEastAsia"/>
          <w:b/>
          <w:bCs/>
          <w:kern w:val="44"/>
          <w:sz w:val="32"/>
          <w:szCs w:val="32"/>
        </w:rPr>
      </w:pPr>
      <w:r>
        <w:rPr>
          <w:rFonts w:hint="eastAsia" w:eastAsiaTheme="majorEastAsia"/>
          <w:b/>
          <w:bCs/>
          <w:kern w:val="44"/>
          <w:sz w:val="32"/>
          <w:szCs w:val="32"/>
        </w:rPr>
        <w:t xml:space="preserve">6 其他 </w:t>
      </w:r>
    </w:p>
    <w:p>
      <w:pPr>
        <w:spacing w:line="360" w:lineRule="auto"/>
        <w:ind w:firstLine="480" w:firstLineChars="200"/>
        <w:rPr>
          <w:rFonts w:hAnsi="宋体"/>
          <w:sz w:val="24"/>
        </w:rPr>
      </w:pPr>
      <w:r>
        <w:rPr>
          <w:rFonts w:hint="eastAsia" w:hAnsi="宋体"/>
          <w:sz w:val="24"/>
        </w:rPr>
        <w:t>上述资料企业均妥善保存，并存档备查。</w:t>
      </w:r>
    </w:p>
    <w:p>
      <w:pPr>
        <w:widowControl/>
        <w:jc w:val="left"/>
        <w:rPr>
          <w:rFonts w:hint="eastAsia" w:eastAsiaTheme="majorEastAsia"/>
          <w:b/>
          <w:bCs/>
          <w:kern w:val="44"/>
          <w:sz w:val="32"/>
          <w:szCs w:val="32"/>
        </w:rPr>
      </w:pPr>
      <w:r>
        <w:rPr>
          <w:rFonts w:hint="eastAsia" w:eastAsiaTheme="majorEastAsia"/>
          <w:b/>
          <w:bCs/>
          <w:kern w:val="44"/>
          <w:sz w:val="32"/>
          <w:szCs w:val="32"/>
        </w:rPr>
        <w:t xml:space="preserve">7 诚信承诺 </w:t>
      </w:r>
    </w:p>
    <w:p>
      <w:pPr>
        <w:keepNext/>
        <w:keepLines/>
        <w:tabs>
          <w:tab w:val="left" w:pos="432"/>
        </w:tabs>
        <w:autoSpaceDN w:val="0"/>
        <w:spacing w:line="360" w:lineRule="auto"/>
        <w:outlineLvl w:val="0"/>
        <w:rPr>
          <w:rFonts w:hint="eastAsia" w:eastAsiaTheme="majorEastAsia"/>
          <w:b/>
          <w:bCs/>
          <w:kern w:val="44"/>
          <w:sz w:val="32"/>
          <w:szCs w:val="32"/>
        </w:rPr>
      </w:pPr>
      <w:r>
        <w:rPr>
          <w:rFonts w:hint="eastAsia" w:eastAsiaTheme="majorEastAsia"/>
          <w:b/>
          <w:bCs/>
          <w:kern w:val="44"/>
          <w:sz w:val="32"/>
          <w:szCs w:val="32"/>
          <w:lang w:eastAsia="zh-CN"/>
        </w:rPr>
        <w:drawing>
          <wp:inline distT="0" distB="0" distL="114300" distR="114300">
            <wp:extent cx="5758180" cy="4798695"/>
            <wp:effectExtent l="0" t="0" r="13970" b="1905"/>
            <wp:docPr id="2" name="图片 2" descr="1588066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88066911(1)"/>
                    <pic:cNvPicPr>
                      <a:picLocks noChangeAspect="1"/>
                    </pic:cNvPicPr>
                  </pic:nvPicPr>
                  <pic:blipFill>
                    <a:blip r:embed="rId25"/>
                    <a:stretch>
                      <a:fillRect/>
                    </a:stretch>
                  </pic:blipFill>
                  <pic:spPr>
                    <a:xfrm>
                      <a:off x="0" y="0"/>
                      <a:ext cx="5758180" cy="4798695"/>
                    </a:xfrm>
                    <a:prstGeom prst="rect">
                      <a:avLst/>
                    </a:prstGeom>
                  </pic:spPr>
                </pic:pic>
              </a:graphicData>
            </a:graphic>
          </wp:inline>
        </w:drawing>
      </w:r>
    </w:p>
    <w:p>
      <w:pPr>
        <w:keepNext/>
        <w:keepLines/>
        <w:tabs>
          <w:tab w:val="left" w:pos="432"/>
        </w:tabs>
        <w:autoSpaceDN w:val="0"/>
        <w:spacing w:line="360" w:lineRule="auto"/>
        <w:outlineLvl w:val="0"/>
        <w:rPr>
          <w:rFonts w:hint="eastAsia" w:eastAsiaTheme="majorEastAsia"/>
          <w:b/>
          <w:bCs/>
          <w:kern w:val="44"/>
          <w:sz w:val="32"/>
          <w:szCs w:val="32"/>
        </w:rPr>
      </w:pPr>
    </w:p>
    <w:p>
      <w:pPr>
        <w:keepNext/>
        <w:keepLines/>
        <w:tabs>
          <w:tab w:val="left" w:pos="432"/>
        </w:tabs>
        <w:autoSpaceDN w:val="0"/>
        <w:spacing w:line="360" w:lineRule="auto"/>
        <w:outlineLvl w:val="0"/>
        <w:rPr>
          <w:rFonts w:hint="eastAsia" w:eastAsiaTheme="majorEastAsia"/>
          <w:b/>
          <w:bCs/>
          <w:kern w:val="44"/>
          <w:sz w:val="32"/>
          <w:szCs w:val="32"/>
        </w:rPr>
      </w:pPr>
    </w:p>
    <w:p>
      <w:pPr>
        <w:keepNext/>
        <w:keepLines/>
        <w:tabs>
          <w:tab w:val="left" w:pos="432"/>
        </w:tabs>
        <w:autoSpaceDN w:val="0"/>
        <w:spacing w:line="360" w:lineRule="auto"/>
        <w:outlineLvl w:val="0"/>
        <w:rPr>
          <w:rFonts w:hint="eastAsia" w:eastAsiaTheme="majorEastAsia"/>
          <w:b/>
          <w:bCs/>
          <w:kern w:val="44"/>
          <w:sz w:val="32"/>
          <w:szCs w:val="32"/>
        </w:rPr>
      </w:pPr>
    </w:p>
    <w:p>
      <w:pPr>
        <w:keepNext/>
        <w:keepLines/>
        <w:tabs>
          <w:tab w:val="left" w:pos="432"/>
        </w:tabs>
        <w:autoSpaceDN w:val="0"/>
        <w:spacing w:line="360" w:lineRule="auto"/>
        <w:outlineLvl w:val="0"/>
        <w:rPr>
          <w:rFonts w:hint="eastAsia" w:eastAsiaTheme="majorEastAsia"/>
          <w:b/>
          <w:bCs/>
          <w:kern w:val="44"/>
          <w:sz w:val="32"/>
          <w:szCs w:val="32"/>
        </w:rPr>
      </w:pPr>
    </w:p>
    <w:p>
      <w:pPr>
        <w:keepNext/>
        <w:keepLines/>
        <w:tabs>
          <w:tab w:val="left" w:pos="432"/>
        </w:tabs>
        <w:autoSpaceDN w:val="0"/>
        <w:spacing w:line="360" w:lineRule="auto"/>
        <w:outlineLvl w:val="0"/>
        <w:rPr>
          <w:rFonts w:hint="eastAsia" w:eastAsiaTheme="majorEastAsia"/>
          <w:b/>
          <w:bCs/>
          <w:kern w:val="44"/>
          <w:sz w:val="32"/>
          <w:szCs w:val="32"/>
        </w:rPr>
      </w:pPr>
    </w:p>
    <w:p>
      <w:pPr>
        <w:keepNext/>
        <w:keepLines/>
        <w:tabs>
          <w:tab w:val="left" w:pos="432"/>
        </w:tabs>
        <w:autoSpaceDN w:val="0"/>
        <w:spacing w:line="360" w:lineRule="auto"/>
        <w:outlineLvl w:val="0"/>
        <w:rPr>
          <w:rFonts w:hint="eastAsia" w:eastAsiaTheme="majorEastAsia"/>
          <w:b/>
          <w:bCs/>
          <w:kern w:val="44"/>
          <w:sz w:val="32"/>
          <w:szCs w:val="32"/>
        </w:rPr>
      </w:pPr>
    </w:p>
    <w:p>
      <w:pPr>
        <w:keepNext/>
        <w:keepLines/>
        <w:tabs>
          <w:tab w:val="left" w:pos="432"/>
        </w:tabs>
        <w:autoSpaceDN w:val="0"/>
        <w:spacing w:line="360" w:lineRule="auto"/>
        <w:outlineLvl w:val="0"/>
        <w:rPr>
          <w:rFonts w:hint="eastAsia" w:eastAsiaTheme="majorEastAsia"/>
          <w:b/>
          <w:bCs/>
          <w:kern w:val="44"/>
          <w:sz w:val="32"/>
          <w:szCs w:val="32"/>
        </w:rPr>
      </w:pPr>
    </w:p>
    <w:p>
      <w:pPr>
        <w:keepNext/>
        <w:keepLines/>
        <w:tabs>
          <w:tab w:val="left" w:pos="432"/>
        </w:tabs>
        <w:autoSpaceDN w:val="0"/>
        <w:spacing w:line="360" w:lineRule="auto"/>
        <w:outlineLvl w:val="0"/>
        <w:rPr>
          <w:rFonts w:hint="eastAsia" w:eastAsiaTheme="majorEastAsia"/>
          <w:b/>
          <w:bCs/>
          <w:kern w:val="44"/>
          <w:sz w:val="32"/>
          <w:szCs w:val="32"/>
        </w:rPr>
      </w:pPr>
    </w:p>
    <w:p>
      <w:pPr>
        <w:keepNext/>
        <w:keepLines/>
        <w:tabs>
          <w:tab w:val="left" w:pos="432"/>
        </w:tabs>
        <w:autoSpaceDN w:val="0"/>
        <w:spacing w:line="360" w:lineRule="auto"/>
        <w:outlineLvl w:val="0"/>
        <w:rPr>
          <w:rFonts w:hint="eastAsia" w:eastAsiaTheme="majorEastAsia"/>
          <w:b/>
          <w:bCs/>
          <w:kern w:val="44"/>
          <w:sz w:val="32"/>
          <w:szCs w:val="32"/>
        </w:rPr>
      </w:pPr>
    </w:p>
    <w:p>
      <w:pPr>
        <w:keepNext/>
        <w:keepLines/>
        <w:tabs>
          <w:tab w:val="left" w:pos="432"/>
        </w:tabs>
        <w:autoSpaceDN w:val="0"/>
        <w:spacing w:line="360" w:lineRule="auto"/>
        <w:outlineLvl w:val="0"/>
        <w:rPr>
          <w:rFonts w:hint="eastAsia" w:eastAsiaTheme="majorEastAsia"/>
          <w:b/>
          <w:bCs/>
          <w:kern w:val="44"/>
          <w:sz w:val="32"/>
          <w:szCs w:val="32"/>
        </w:rPr>
      </w:pPr>
    </w:p>
    <w:p>
      <w:pPr>
        <w:keepNext/>
        <w:keepLines/>
        <w:tabs>
          <w:tab w:val="left" w:pos="432"/>
        </w:tabs>
        <w:autoSpaceDN w:val="0"/>
        <w:spacing w:line="360" w:lineRule="auto"/>
        <w:outlineLvl w:val="0"/>
        <w:rPr>
          <w:rFonts w:eastAsiaTheme="majorEastAsia"/>
          <w:b/>
          <w:bCs/>
          <w:kern w:val="44"/>
          <w:sz w:val="32"/>
          <w:szCs w:val="32"/>
        </w:rPr>
      </w:pPr>
      <w:r>
        <w:rPr>
          <w:rFonts w:hint="eastAsia" w:eastAsiaTheme="majorEastAsia"/>
          <w:b/>
          <w:bCs/>
          <w:kern w:val="44"/>
          <w:sz w:val="32"/>
          <w:szCs w:val="32"/>
        </w:rPr>
        <w:t>8</w:t>
      </w:r>
      <w:bookmarkStart w:id="0" w:name="_GoBack"/>
      <w:bookmarkEnd w:id="0"/>
      <w:r>
        <w:rPr>
          <w:rFonts w:eastAsiaTheme="majorEastAsia"/>
          <w:b/>
          <w:bCs/>
          <w:kern w:val="44"/>
          <w:sz w:val="32"/>
          <w:szCs w:val="32"/>
        </w:rPr>
        <w:t xml:space="preserve"> </w:t>
      </w:r>
      <w:r>
        <w:rPr>
          <w:rFonts w:hint="eastAsia" w:eastAsiaTheme="majorEastAsia"/>
          <w:b/>
          <w:bCs/>
          <w:kern w:val="44"/>
          <w:sz w:val="32"/>
          <w:szCs w:val="32"/>
        </w:rPr>
        <w:t>附件</w:t>
      </w:r>
      <w:r>
        <w:rPr>
          <w:rFonts w:eastAsiaTheme="majorEastAsia"/>
          <w:b/>
          <w:bCs/>
          <w:kern w:val="44"/>
          <w:sz w:val="32"/>
          <w:szCs w:val="32"/>
        </w:rPr>
        <w:t xml:space="preserve"> </w:t>
      </w:r>
    </w:p>
    <w:p>
      <w:pPr>
        <w:keepNext/>
        <w:tabs>
          <w:tab w:val="left" w:pos="420"/>
          <w:tab w:val="left" w:pos="576"/>
          <w:tab w:val="left" w:pos="3150"/>
        </w:tabs>
        <w:spacing w:line="360" w:lineRule="auto"/>
        <w:outlineLvl w:val="1"/>
        <w:rPr>
          <w:rFonts w:eastAsia="黑体"/>
          <w:iCs/>
          <w:sz w:val="28"/>
          <w:szCs w:val="28"/>
        </w:rPr>
      </w:pPr>
      <w:r>
        <w:rPr>
          <w:rFonts w:hint="eastAsia" w:eastAsia="黑体"/>
          <w:iCs/>
          <w:sz w:val="28"/>
          <w:szCs w:val="28"/>
        </w:rPr>
        <w:t>8</w:t>
      </w:r>
      <w:r>
        <w:rPr>
          <w:rFonts w:eastAsia="黑体"/>
          <w:iCs/>
          <w:sz w:val="28"/>
          <w:szCs w:val="28"/>
        </w:rPr>
        <w:t xml:space="preserve">.1 </w:t>
      </w:r>
      <w:r>
        <w:rPr>
          <w:rFonts w:hint="eastAsia" w:eastAsia="黑体"/>
          <w:iCs/>
          <w:sz w:val="28"/>
          <w:szCs w:val="28"/>
        </w:rPr>
        <w:t>第一次公示信息</w:t>
      </w:r>
    </w:p>
    <w:p>
      <w:pPr>
        <w:tabs>
          <w:tab w:val="left" w:pos="221"/>
          <w:tab w:val="center" w:pos="4595"/>
        </w:tabs>
        <w:ind w:firstLine="1920" w:firstLineChars="600"/>
        <w:jc w:val="left"/>
        <w:rPr>
          <w:rFonts w:ascii="黑体" w:hAnsi="黑体" w:eastAsia="黑体" w:cs="黑体"/>
          <w:sz w:val="32"/>
          <w:szCs w:val="32"/>
        </w:rPr>
      </w:pPr>
      <w:r>
        <w:rPr>
          <w:rFonts w:hint="eastAsia" w:ascii="黑体" w:hAnsi="黑体" w:eastAsia="黑体" w:cs="黑体"/>
          <w:sz w:val="32"/>
          <w:szCs w:val="32"/>
        </w:rPr>
        <w:t>枣庄盛运生活垃圾焚烧热电联产项目</w:t>
      </w:r>
    </w:p>
    <w:p>
      <w:pPr>
        <w:jc w:val="center"/>
        <w:rPr>
          <w:rFonts w:ascii="黑体" w:hAnsi="黑体" w:eastAsia="黑体" w:cs="黑体"/>
          <w:sz w:val="32"/>
          <w:szCs w:val="32"/>
        </w:rPr>
      </w:pPr>
      <w:r>
        <w:rPr>
          <w:rFonts w:hint="eastAsia" w:ascii="黑体" w:hAnsi="黑体" w:eastAsia="黑体" w:cs="黑体"/>
          <w:sz w:val="32"/>
          <w:szCs w:val="32"/>
        </w:rPr>
        <w:t>环境影响评价第一次公众参与公告</w:t>
      </w:r>
    </w:p>
    <w:p>
      <w:pPr>
        <w:adjustRightInd w:val="0"/>
        <w:snapToGrid w:val="0"/>
        <w:spacing w:line="520" w:lineRule="exact"/>
        <w:ind w:right="720"/>
        <w:rPr>
          <w:rFonts w:cs="宋体"/>
          <w:sz w:val="24"/>
          <w:szCs w:val="20"/>
        </w:rPr>
      </w:pPr>
      <w:r>
        <w:rPr>
          <w:rFonts w:hint="eastAsia" w:cs="宋体"/>
          <w:sz w:val="24"/>
        </w:rPr>
        <w:t>各位公众：</w:t>
      </w:r>
    </w:p>
    <w:p>
      <w:pPr>
        <w:adjustRightInd w:val="0"/>
        <w:snapToGrid w:val="0"/>
        <w:spacing w:line="520" w:lineRule="exact"/>
        <w:ind w:right="720" w:firstLine="480"/>
        <w:rPr>
          <w:rFonts w:cs="宋体"/>
          <w:sz w:val="24"/>
          <w:szCs w:val="20"/>
        </w:rPr>
      </w:pPr>
      <w:r>
        <w:rPr>
          <w:rFonts w:hint="eastAsia" w:cs="宋体"/>
          <w:sz w:val="24"/>
        </w:rPr>
        <w:t>你们好！</w:t>
      </w:r>
    </w:p>
    <w:p>
      <w:pPr>
        <w:spacing w:line="520" w:lineRule="exact"/>
        <w:ind w:firstLine="480" w:firstLineChars="200"/>
        <w:rPr>
          <w:sz w:val="24"/>
        </w:rPr>
      </w:pPr>
      <w:r>
        <w:rPr>
          <w:rFonts w:hint="eastAsia"/>
          <w:sz w:val="24"/>
        </w:rPr>
        <w:t>根据《中华人民共和国环境影响评价法》、《环境影响评价公众参与办法》（生态环境部令</w:t>
      </w:r>
      <w:r>
        <w:rPr>
          <w:sz w:val="24"/>
        </w:rPr>
        <w:t xml:space="preserve"> </w:t>
      </w:r>
      <w:r>
        <w:rPr>
          <w:rFonts w:hint="eastAsia"/>
          <w:sz w:val="24"/>
        </w:rPr>
        <w:t>部令第</w:t>
      </w:r>
      <w:r>
        <w:rPr>
          <w:sz w:val="24"/>
        </w:rPr>
        <w:t>4</w:t>
      </w:r>
      <w:r>
        <w:rPr>
          <w:rFonts w:hint="eastAsia"/>
          <w:sz w:val="24"/>
        </w:rPr>
        <w:t>号）等相关规定</w:t>
      </w:r>
      <w:r>
        <w:rPr>
          <w:sz w:val="24"/>
        </w:rPr>
        <w:t>，现将</w:t>
      </w:r>
      <w:r>
        <w:rPr>
          <w:rFonts w:hint="eastAsia"/>
          <w:sz w:val="24"/>
        </w:rPr>
        <w:t>枣庄盛运生活垃圾焚烧热电联产项目</w:t>
      </w:r>
      <w:r>
        <w:rPr>
          <w:sz w:val="24"/>
        </w:rPr>
        <w:t>有关环境影响评价事宜公告如下：</w:t>
      </w:r>
    </w:p>
    <w:p>
      <w:pPr>
        <w:spacing w:line="520" w:lineRule="exact"/>
        <w:outlineLvl w:val="0"/>
        <w:rPr>
          <w:b/>
          <w:sz w:val="24"/>
        </w:rPr>
      </w:pPr>
      <w:r>
        <w:rPr>
          <w:b/>
          <w:sz w:val="24"/>
        </w:rPr>
        <w:t>一、建设项目的名称及概要</w:t>
      </w:r>
    </w:p>
    <w:p>
      <w:pPr>
        <w:spacing w:line="480" w:lineRule="exact"/>
        <w:ind w:firstLine="482" w:firstLineChars="200"/>
        <w:rPr>
          <w:sz w:val="24"/>
        </w:rPr>
      </w:pPr>
      <w:r>
        <w:rPr>
          <w:b/>
          <w:sz w:val="24"/>
        </w:rPr>
        <w:t>项目名称：</w:t>
      </w:r>
      <w:r>
        <w:rPr>
          <w:rFonts w:hint="eastAsia"/>
          <w:sz w:val="24"/>
        </w:rPr>
        <w:t>枣庄盛运生活垃圾焚烧热电联产项目</w:t>
      </w:r>
    </w:p>
    <w:p>
      <w:pPr>
        <w:spacing w:line="480" w:lineRule="exact"/>
        <w:ind w:firstLine="482" w:firstLineChars="200"/>
        <w:rPr>
          <w:sz w:val="24"/>
        </w:rPr>
      </w:pPr>
      <w:r>
        <w:rPr>
          <w:rFonts w:hint="eastAsia"/>
          <w:b/>
          <w:sz w:val="24"/>
        </w:rPr>
        <w:t>建设单位</w:t>
      </w:r>
      <w:r>
        <w:rPr>
          <w:b/>
          <w:sz w:val="24"/>
        </w:rPr>
        <w:t>：</w:t>
      </w:r>
      <w:r>
        <w:rPr>
          <w:rFonts w:hint="eastAsia"/>
          <w:sz w:val="24"/>
        </w:rPr>
        <w:t>枣庄中科环保电力有限公司</w:t>
      </w:r>
    </w:p>
    <w:p>
      <w:pPr>
        <w:spacing w:line="480" w:lineRule="exact"/>
        <w:ind w:firstLine="482" w:firstLineChars="200"/>
        <w:rPr>
          <w:b/>
          <w:sz w:val="24"/>
        </w:rPr>
      </w:pPr>
      <w:r>
        <w:rPr>
          <w:rFonts w:hint="eastAsia"/>
          <w:b/>
          <w:sz w:val="24"/>
        </w:rPr>
        <w:t>项目性质</w:t>
      </w:r>
      <w:r>
        <w:rPr>
          <w:rFonts w:hint="eastAsia"/>
          <w:sz w:val="24"/>
        </w:rPr>
        <w:t>：扩建工程</w:t>
      </w:r>
    </w:p>
    <w:p>
      <w:pPr>
        <w:spacing w:line="480" w:lineRule="exact"/>
        <w:ind w:firstLine="479" w:firstLineChars="199"/>
        <w:rPr>
          <w:sz w:val="24"/>
        </w:rPr>
      </w:pPr>
      <w:r>
        <w:rPr>
          <w:rFonts w:hint="eastAsia"/>
          <w:b/>
          <w:sz w:val="24"/>
        </w:rPr>
        <w:t>建设规模</w:t>
      </w:r>
      <w:r>
        <w:rPr>
          <w:b/>
          <w:sz w:val="24"/>
        </w:rPr>
        <w:t>：</w:t>
      </w:r>
      <w:r>
        <w:rPr>
          <w:rFonts w:hint="eastAsia"/>
          <w:sz w:val="24"/>
        </w:rPr>
        <w:t>枣庄盛运生活垃圾焚烧热电联产项目建设规模为处理垃圾量800t/d，建设一台焚烧能力为800t/d的机械炉排焚烧炉、配套一台70.76t/h中温中压余热锅炉及一台15MW中温中压抽凝式汽轮发电机组（包括烟气净化系统、污水处理等配套系统）。</w:t>
      </w:r>
    </w:p>
    <w:p>
      <w:pPr>
        <w:spacing w:line="480" w:lineRule="exact"/>
        <w:ind w:firstLine="482" w:firstLineChars="200"/>
        <w:rPr>
          <w:sz w:val="24"/>
        </w:rPr>
      </w:pPr>
      <w:r>
        <w:rPr>
          <w:rFonts w:hint="eastAsia"/>
          <w:b/>
          <w:sz w:val="24"/>
        </w:rPr>
        <w:t>建设</w:t>
      </w:r>
      <w:r>
        <w:rPr>
          <w:b/>
          <w:sz w:val="24"/>
        </w:rPr>
        <w:t>项目</w:t>
      </w:r>
      <w:r>
        <w:rPr>
          <w:rFonts w:hint="eastAsia"/>
          <w:b/>
          <w:sz w:val="24"/>
        </w:rPr>
        <w:t>地点</w:t>
      </w:r>
      <w:r>
        <w:rPr>
          <w:b/>
          <w:sz w:val="24"/>
        </w:rPr>
        <w:t>：</w:t>
      </w:r>
      <w:r>
        <w:rPr>
          <w:rFonts w:hint="eastAsia"/>
          <w:sz w:val="24"/>
        </w:rPr>
        <w:t>扩建项目位于山东省枣庄市薛城区陶庄镇</w:t>
      </w:r>
    </w:p>
    <w:p>
      <w:pPr>
        <w:spacing w:line="480" w:lineRule="exact"/>
        <w:ind w:firstLine="482" w:firstLineChars="200"/>
        <w:rPr>
          <w:rFonts w:ascii="宋体" w:hAnsi="宋体" w:cs="宋体"/>
          <w:bCs/>
          <w:sz w:val="24"/>
        </w:rPr>
      </w:pPr>
      <w:r>
        <w:rPr>
          <w:rFonts w:hint="eastAsia"/>
          <w:b/>
          <w:sz w:val="24"/>
        </w:rPr>
        <w:t>项目占地面积及投资</w:t>
      </w:r>
      <w:r>
        <w:rPr>
          <w:b/>
          <w:sz w:val="24"/>
        </w:rPr>
        <w:t>：</w:t>
      </w:r>
      <w:r>
        <w:rPr>
          <w:rFonts w:hint="eastAsia" w:ascii="宋体" w:hAnsi="宋体" w:cs="宋体"/>
          <w:sz w:val="24"/>
        </w:rPr>
        <w:t>扩建项目新增用地36258.9m</w:t>
      </w:r>
      <w:r>
        <w:rPr>
          <w:rFonts w:hint="eastAsia" w:ascii="宋体" w:hAnsi="宋体" w:cs="宋体"/>
          <w:sz w:val="24"/>
          <w:vertAlign w:val="superscript"/>
        </w:rPr>
        <w:t>2</w:t>
      </w:r>
      <w:r>
        <w:rPr>
          <w:rFonts w:hint="eastAsia" w:ascii="宋体" w:hAnsi="宋体" w:cs="宋体"/>
          <w:sz w:val="24"/>
        </w:rPr>
        <w:t>，</w:t>
      </w:r>
      <w:r>
        <w:rPr>
          <w:rFonts w:hint="eastAsia" w:ascii="宋体" w:hAnsi="宋体" w:cs="宋体"/>
          <w:bCs/>
          <w:sz w:val="24"/>
        </w:rPr>
        <w:t>项目总投资</w:t>
      </w:r>
      <w:r>
        <w:rPr>
          <w:rFonts w:hint="eastAsia" w:ascii="宋体" w:hAnsi="宋体" w:cs="宋体"/>
          <w:sz w:val="24"/>
        </w:rPr>
        <w:t>3.242亿元</w:t>
      </w:r>
      <w:r>
        <w:rPr>
          <w:rFonts w:hint="eastAsia" w:ascii="宋体" w:hAnsi="宋体" w:cs="宋体"/>
          <w:bCs/>
          <w:sz w:val="24"/>
        </w:rPr>
        <w:t>。</w:t>
      </w:r>
    </w:p>
    <w:p>
      <w:pPr>
        <w:spacing w:line="480" w:lineRule="exact"/>
        <w:ind w:firstLine="482" w:firstLineChars="200"/>
        <w:rPr>
          <w:sz w:val="24"/>
        </w:rPr>
      </w:pPr>
      <w:r>
        <w:rPr>
          <w:rFonts w:hint="eastAsia"/>
          <w:b/>
          <w:sz w:val="24"/>
        </w:rPr>
        <w:t>现有工程概况：</w:t>
      </w:r>
      <w:r>
        <w:rPr>
          <w:rFonts w:hint="eastAsia"/>
          <w:sz w:val="24"/>
        </w:rPr>
        <w:t>枣庄生活垃圾焚烧发电项目原一期工程日处理生活垃圾1000吨，采用2台日处理垃圾500t/d循环流化床垃圾焚烧锅炉，2台7.5MW的汽轮发电机组，该项目于2017年投产运行。原现有焚烧线已拆除进行改建，改建项目已经取得环评批复，目前正在建设过程中。枣庄生活垃圾焚烧发电项目改建工程将原2条500t/d循环流化床改建为一条入炉垃圾量为800t/d的机械炉排炉焚烧线，将原来2台7.5MW的汽轮发电机组改为1台15MW汽轮机发电机组和对应配套系统（包括烟气净化系统，汽轮发电机系统等）。改建工程焚烧烟气采用“SNCR脱硝+半干法脱酸+干法喷射（石灰粉末）＋活性炭喷射＋布袋除尘”工艺处理，处理达到《生活垃圾焚烧污染控制标准》(GB18485-2014)中相应小时均值、日均值标准要求和《关于进一步加强生物质发电项目环境影响评价管理工作的通知》环发〔2008〕82号文中的要求后，经高度为100m、内径2.4m的烟囱排放（为集束式烟囱）。改建工程垃圾渗滤液、垃圾卸料区冲洗废水、地磅区冲洗废水、垃圾运输道路及坡道的冲洗废水、初期雨水经改建项目渗滤液处理站处理达《生活垃圾填埋场污染控制标准》（GB16889-2008）中的表2标准后通过管线排至新城污水处理厂，处理达《城镇污水处理厂污染物排放标准》(GB18918-2002)一级A标准后外排至小沙河。现有渗滤液处理站采用“厌氧+外置式MBR（二级A/O+超滤）+NF纳滤膜系统+RO反渗透系统”处理工艺。渗滤液处理站浓缩液用于石灰浆制备或锅炉回喷，少部分污泥带走。车间冲洗废水、循环水排污水、化验室废水、锅炉化水除盐水设备反冲洗废水均经厂区污水管道收集后送至新城污水处理厂处理。生活污水经厂区内地埋式一体化污水处理设备处理后经厂区废水总排放口直接经市政污水管网收集，送至新城污水处理厂处理。改建工程</w:t>
      </w:r>
      <w:r>
        <w:rPr>
          <w:sz w:val="24"/>
        </w:rPr>
        <w:t>产生的固体废物主要为炉渣及飞灰、废离子交换树脂、废矿物油、废布袋、废过滤膜、废活性炭、污泥以及厂内职工产生的生活垃圾等</w:t>
      </w:r>
      <w:r>
        <w:rPr>
          <w:rFonts w:hint="eastAsia"/>
          <w:sz w:val="24"/>
        </w:rPr>
        <w:t>，均可得到妥善处置</w:t>
      </w:r>
      <w:r>
        <w:rPr>
          <w:sz w:val="24"/>
        </w:rPr>
        <w:t>，不外排。各种噪声对四个厂界昼、夜间噪声贡献值均可满足《工业企业厂界环境噪声排放标准》（GB12348-2008）3类标准要求。</w:t>
      </w:r>
    </w:p>
    <w:p>
      <w:pPr>
        <w:spacing w:line="520" w:lineRule="exact"/>
        <w:outlineLvl w:val="0"/>
        <w:rPr>
          <w:b/>
          <w:sz w:val="24"/>
        </w:rPr>
      </w:pPr>
      <w:r>
        <w:rPr>
          <w:b/>
          <w:sz w:val="24"/>
        </w:rPr>
        <w:t>二、建设项目的建设单位的名称和联系方式</w:t>
      </w:r>
    </w:p>
    <w:p>
      <w:pPr>
        <w:spacing w:line="520" w:lineRule="exact"/>
        <w:ind w:firstLine="480" w:firstLineChars="200"/>
        <w:rPr>
          <w:sz w:val="24"/>
        </w:rPr>
      </w:pPr>
      <w:r>
        <w:rPr>
          <w:sz w:val="24"/>
        </w:rPr>
        <w:t>单位名称：</w:t>
      </w:r>
      <w:r>
        <w:rPr>
          <w:rFonts w:hint="eastAsia"/>
          <w:sz w:val="24"/>
        </w:rPr>
        <w:t>枣庄中科环保电力有限公司</w:t>
      </w:r>
    </w:p>
    <w:p>
      <w:pPr>
        <w:spacing w:line="520" w:lineRule="exact"/>
        <w:ind w:firstLine="480" w:firstLineChars="200"/>
        <w:rPr>
          <w:sz w:val="24"/>
        </w:rPr>
      </w:pPr>
      <w:r>
        <w:rPr>
          <w:sz w:val="24"/>
        </w:rPr>
        <w:t>联 系 人：</w:t>
      </w:r>
      <w:r>
        <w:rPr>
          <w:rFonts w:hint="eastAsia"/>
          <w:sz w:val="24"/>
        </w:rPr>
        <w:t xml:space="preserve"> 吕传义</w:t>
      </w:r>
    </w:p>
    <w:p>
      <w:pPr>
        <w:spacing w:line="520" w:lineRule="exact"/>
        <w:ind w:firstLine="480" w:firstLineChars="200"/>
        <w:rPr>
          <w:sz w:val="24"/>
        </w:rPr>
      </w:pPr>
      <w:r>
        <w:rPr>
          <w:sz w:val="24"/>
        </w:rPr>
        <w:t>电    话：</w:t>
      </w:r>
      <w:r>
        <w:rPr>
          <w:rFonts w:hint="eastAsia"/>
          <w:sz w:val="24"/>
        </w:rPr>
        <w:t xml:space="preserve">  </w:t>
      </w:r>
      <w:r>
        <w:rPr>
          <w:rFonts w:hint="eastAsia" w:ascii="宋体" w:hAnsi="宋体"/>
          <w:sz w:val="24"/>
        </w:rPr>
        <w:t>18806376956</w:t>
      </w:r>
    </w:p>
    <w:p>
      <w:pPr>
        <w:spacing w:line="520" w:lineRule="exact"/>
        <w:outlineLvl w:val="0"/>
        <w:rPr>
          <w:b/>
          <w:sz w:val="24"/>
        </w:rPr>
      </w:pPr>
      <w:r>
        <w:rPr>
          <w:b/>
          <w:sz w:val="24"/>
        </w:rPr>
        <w:t>三、承担评价工作的环境影响评价机构的名称和联系方式</w:t>
      </w:r>
    </w:p>
    <w:p>
      <w:pPr>
        <w:spacing w:line="520" w:lineRule="exact"/>
        <w:ind w:firstLine="480" w:firstLineChars="200"/>
        <w:rPr>
          <w:sz w:val="24"/>
        </w:rPr>
      </w:pPr>
      <w:r>
        <w:rPr>
          <w:sz w:val="24"/>
        </w:rPr>
        <w:t>单位名称：山东省</w:t>
      </w:r>
      <w:r>
        <w:rPr>
          <w:rFonts w:hint="eastAsia"/>
          <w:sz w:val="24"/>
        </w:rPr>
        <w:t>环境保护科学研究设计院有限公司</w:t>
      </w:r>
    </w:p>
    <w:p>
      <w:pPr>
        <w:spacing w:line="520" w:lineRule="exact"/>
        <w:ind w:firstLine="480" w:firstLineChars="200"/>
        <w:rPr>
          <w:sz w:val="24"/>
        </w:rPr>
      </w:pPr>
      <w:r>
        <w:rPr>
          <w:sz w:val="24"/>
        </w:rPr>
        <w:t>单位地址：山东省济南市历山路50号</w:t>
      </w:r>
    </w:p>
    <w:p>
      <w:pPr>
        <w:spacing w:line="520" w:lineRule="exact"/>
        <w:ind w:firstLine="480" w:firstLineChars="200"/>
        <w:rPr>
          <w:sz w:val="24"/>
        </w:rPr>
      </w:pPr>
      <w:r>
        <w:rPr>
          <w:sz w:val="24"/>
        </w:rPr>
        <w:t>联 系 人：</w:t>
      </w:r>
      <w:r>
        <w:rPr>
          <w:rFonts w:hint="eastAsia"/>
          <w:sz w:val="24"/>
        </w:rPr>
        <w:t>倪工</w:t>
      </w:r>
    </w:p>
    <w:p>
      <w:pPr>
        <w:spacing w:line="520" w:lineRule="exact"/>
        <w:ind w:firstLine="480" w:firstLineChars="200"/>
        <w:rPr>
          <w:sz w:val="24"/>
        </w:rPr>
      </w:pPr>
      <w:r>
        <w:rPr>
          <w:sz w:val="24"/>
        </w:rPr>
        <w:t>联系电话：0531-</w:t>
      </w:r>
      <w:r>
        <w:rPr>
          <w:rFonts w:hint="eastAsia"/>
          <w:sz w:val="24"/>
        </w:rPr>
        <w:t>85870071</w:t>
      </w:r>
    </w:p>
    <w:p>
      <w:pPr>
        <w:spacing w:line="520" w:lineRule="exact"/>
        <w:ind w:firstLine="480" w:firstLineChars="200"/>
        <w:rPr>
          <w:sz w:val="24"/>
        </w:rPr>
      </w:pPr>
      <w:r>
        <w:rPr>
          <w:rFonts w:hint="eastAsia"/>
          <w:sz w:val="24"/>
        </w:rPr>
        <w:t>邮  箱：nixiao86@126.com</w:t>
      </w:r>
    </w:p>
    <w:p>
      <w:pPr>
        <w:spacing w:line="520" w:lineRule="exact"/>
        <w:ind w:firstLine="480" w:firstLineChars="200"/>
        <w:rPr>
          <w:sz w:val="24"/>
        </w:rPr>
      </w:pPr>
      <w:r>
        <w:rPr>
          <w:sz w:val="24"/>
        </w:rPr>
        <w:t>邮    编：250013</w:t>
      </w:r>
    </w:p>
    <w:p>
      <w:pPr>
        <w:spacing w:line="540" w:lineRule="exact"/>
        <w:outlineLvl w:val="0"/>
        <w:rPr>
          <w:b/>
          <w:sz w:val="24"/>
        </w:rPr>
      </w:pPr>
      <w:r>
        <w:rPr>
          <w:b/>
          <w:sz w:val="24"/>
        </w:rPr>
        <w:t>四、环境影响评价的工作程序和主要工作内容</w:t>
      </w:r>
    </w:p>
    <w:p>
      <w:pPr>
        <w:spacing w:line="540" w:lineRule="exact"/>
        <w:ind w:firstLine="480" w:firstLineChars="200"/>
        <w:rPr>
          <w:sz w:val="24"/>
        </w:rPr>
      </w:pPr>
      <w:r>
        <w:rPr>
          <w:sz w:val="24"/>
        </w:rPr>
        <w:t>工作内容主要为编制拟建项目环境影响报告书。根据项目可研，结合当地的自然社会环境概况，在工程分析和现状监测的基础上，对项目产生的环境影响进行预测，并根据预测结果评价项目建设的可行性，提出合理可行的污染防治措施和环境风险应急预案，对项目是否满足总量控制、是否征得公众许可进行调查，并得出最终结论。</w:t>
      </w:r>
    </w:p>
    <w:p>
      <w:pPr>
        <w:spacing w:line="540" w:lineRule="exact"/>
        <w:outlineLvl w:val="0"/>
        <w:rPr>
          <w:b/>
          <w:sz w:val="24"/>
        </w:rPr>
      </w:pPr>
      <w:r>
        <w:rPr>
          <w:b/>
          <w:sz w:val="24"/>
        </w:rPr>
        <w:t>五、征求公众意见的主要事项</w:t>
      </w:r>
    </w:p>
    <w:p>
      <w:pPr>
        <w:spacing w:line="540" w:lineRule="exact"/>
        <w:ind w:firstLine="480" w:firstLineChars="200"/>
        <w:rPr>
          <w:sz w:val="24"/>
        </w:rPr>
      </w:pPr>
      <w:r>
        <w:rPr>
          <w:sz w:val="24"/>
        </w:rPr>
        <w:t>本次公众参与主要征求受工程建设影响的公众对该项目的建设所带来的环境影响的意见和建议，从环境保护的角度提出防治工程建设所造成的不利环境影响的建议，以便通过环境影响评价将公众的合理可行的意见和建议反馈于工程设计中。   </w:t>
      </w:r>
    </w:p>
    <w:p>
      <w:pPr>
        <w:spacing w:line="540" w:lineRule="exact"/>
        <w:outlineLvl w:val="0"/>
        <w:rPr>
          <w:b/>
          <w:sz w:val="24"/>
        </w:rPr>
      </w:pPr>
      <w:r>
        <w:rPr>
          <w:b/>
          <w:sz w:val="24"/>
        </w:rPr>
        <w:t>六、公众提出意见的主要方式</w:t>
      </w:r>
    </w:p>
    <w:p>
      <w:pPr>
        <w:spacing w:line="540" w:lineRule="exact"/>
        <w:ind w:firstLine="480" w:firstLineChars="200"/>
        <w:rPr>
          <w:sz w:val="24"/>
        </w:rPr>
      </w:pPr>
      <w:r>
        <w:rPr>
          <w:rFonts w:hint="eastAsia"/>
          <w:sz w:val="24"/>
        </w:rPr>
        <w:t>公众对建设项目有环境保护意见的，自本公示期限内，</w:t>
      </w:r>
      <w:r>
        <w:rPr>
          <w:sz w:val="24"/>
        </w:rPr>
        <w:t>个人或单位可以通过信函、电话或者其它方式向建设单位和该项目环境影响评价单位提交书面意见（</w:t>
      </w:r>
      <w:r>
        <w:rPr>
          <w:rFonts w:hint="eastAsia"/>
          <w:sz w:val="24"/>
        </w:rPr>
        <w:t>见附件1：</w:t>
      </w:r>
      <w:r>
        <w:rPr>
          <w:sz w:val="24"/>
        </w:rPr>
        <w:t>请公众在发表意见的同时尽量提供详尽的联系方式）。</w:t>
      </w:r>
    </w:p>
    <w:p>
      <w:pPr>
        <w:spacing w:line="540" w:lineRule="exact"/>
        <w:ind w:firstLine="480" w:firstLineChars="200"/>
        <w:rPr>
          <w:sz w:val="24"/>
        </w:rPr>
      </w:pPr>
      <w:r>
        <w:rPr>
          <w:sz w:val="24"/>
        </w:rPr>
        <w:t>环境影响评价单位将在项目环境影响报告书中真实记录公众的意见和建议，并将公众的宝贵意见、建议向项目的建设单位、设计单位和有关部门反映。</w:t>
      </w:r>
    </w:p>
    <w:p>
      <w:pPr>
        <w:spacing w:line="540" w:lineRule="exact"/>
        <w:rPr>
          <w:sz w:val="24"/>
        </w:rPr>
      </w:pPr>
    </w:p>
    <w:p>
      <w:pPr>
        <w:spacing w:line="540" w:lineRule="exact"/>
        <w:rPr>
          <w:sz w:val="24"/>
        </w:rPr>
      </w:pPr>
    </w:p>
    <w:p>
      <w:pPr>
        <w:spacing w:line="540" w:lineRule="exact"/>
        <w:ind w:firstLine="4080" w:firstLineChars="1700"/>
        <w:rPr>
          <w:sz w:val="24"/>
        </w:rPr>
      </w:pPr>
      <w:r>
        <w:rPr>
          <w:rFonts w:hint="eastAsia"/>
          <w:sz w:val="24"/>
        </w:rPr>
        <w:t>枣庄中科环保电力有限公司</w:t>
      </w:r>
    </w:p>
    <w:p>
      <w:pPr>
        <w:spacing w:line="540" w:lineRule="exact"/>
        <w:ind w:firstLine="4320" w:firstLineChars="1800"/>
        <w:rPr>
          <w:sz w:val="24"/>
        </w:rPr>
      </w:pPr>
    </w:p>
    <w:p>
      <w:pPr>
        <w:spacing w:line="540" w:lineRule="exact"/>
        <w:ind w:firstLine="4800" w:firstLineChars="2000"/>
        <w:rPr>
          <w:sz w:val="24"/>
        </w:rPr>
      </w:pPr>
      <w:r>
        <w:rPr>
          <w:sz w:val="24"/>
        </w:rPr>
        <w:t>201</w:t>
      </w:r>
      <w:r>
        <w:rPr>
          <w:rFonts w:hint="eastAsia"/>
          <w:sz w:val="24"/>
        </w:rPr>
        <w:t>9</w:t>
      </w:r>
      <w:r>
        <w:rPr>
          <w:sz w:val="24"/>
        </w:rPr>
        <w:t>年</w:t>
      </w:r>
      <w:r>
        <w:rPr>
          <w:rFonts w:hint="eastAsia"/>
          <w:sz w:val="24"/>
        </w:rPr>
        <w:t>12</w:t>
      </w:r>
      <w:r>
        <w:rPr>
          <w:sz w:val="24"/>
        </w:rPr>
        <w:t>月</w:t>
      </w:r>
      <w:r>
        <w:rPr>
          <w:rFonts w:hint="eastAsia"/>
          <w:sz w:val="24"/>
        </w:rPr>
        <w:t>20日</w:t>
      </w:r>
    </w:p>
    <w:p>
      <w:pPr>
        <w:spacing w:line="540" w:lineRule="exact"/>
        <w:ind w:firstLine="4800" w:firstLineChars="2000"/>
        <w:rPr>
          <w:sz w:val="24"/>
        </w:rPr>
      </w:pPr>
    </w:p>
    <w:p>
      <w:pPr>
        <w:spacing w:line="540" w:lineRule="exact"/>
        <w:ind w:firstLine="4800" w:firstLineChars="2000"/>
        <w:rPr>
          <w:sz w:val="24"/>
        </w:rPr>
      </w:pPr>
    </w:p>
    <w:p>
      <w:pPr>
        <w:spacing w:line="540" w:lineRule="exact"/>
        <w:ind w:firstLine="4800" w:firstLineChars="2000"/>
        <w:rPr>
          <w:sz w:val="24"/>
        </w:rPr>
      </w:pPr>
    </w:p>
    <w:p>
      <w:pPr>
        <w:spacing w:line="540" w:lineRule="exact"/>
        <w:ind w:firstLine="4800" w:firstLineChars="2000"/>
        <w:rPr>
          <w:sz w:val="24"/>
        </w:rPr>
      </w:pPr>
    </w:p>
    <w:p>
      <w:pPr>
        <w:spacing w:line="520" w:lineRule="exact"/>
        <w:jc w:val="left"/>
        <w:rPr>
          <w:rFonts w:eastAsia="黑体"/>
          <w:iCs/>
          <w:sz w:val="28"/>
          <w:szCs w:val="28"/>
        </w:rPr>
      </w:pPr>
    </w:p>
    <w:p>
      <w:pPr>
        <w:spacing w:line="520" w:lineRule="exact"/>
        <w:jc w:val="left"/>
        <w:rPr>
          <w:rFonts w:eastAsia="黑体"/>
          <w:iCs/>
          <w:sz w:val="28"/>
          <w:szCs w:val="28"/>
        </w:rPr>
      </w:pPr>
    </w:p>
    <w:p>
      <w:pPr>
        <w:spacing w:line="520" w:lineRule="exact"/>
        <w:jc w:val="left"/>
        <w:rPr>
          <w:rFonts w:eastAsia="黑体"/>
          <w:iCs/>
          <w:sz w:val="28"/>
          <w:szCs w:val="28"/>
        </w:rPr>
      </w:pPr>
    </w:p>
    <w:p>
      <w:pPr>
        <w:spacing w:line="520" w:lineRule="exact"/>
        <w:jc w:val="left"/>
        <w:rPr>
          <w:rFonts w:eastAsia="黑体"/>
          <w:iCs/>
          <w:sz w:val="28"/>
          <w:szCs w:val="28"/>
        </w:rPr>
      </w:pPr>
      <w:r>
        <w:rPr>
          <w:rFonts w:hint="eastAsia" w:eastAsia="黑体"/>
          <w:iCs/>
          <w:sz w:val="28"/>
          <w:szCs w:val="28"/>
        </w:rPr>
        <w:t>8</w:t>
      </w:r>
      <w:r>
        <w:rPr>
          <w:rFonts w:eastAsia="黑体"/>
          <w:iCs/>
          <w:sz w:val="28"/>
          <w:szCs w:val="28"/>
        </w:rPr>
        <w:t xml:space="preserve">.2 </w:t>
      </w:r>
      <w:r>
        <w:rPr>
          <w:rFonts w:hint="eastAsia" w:eastAsia="黑体"/>
          <w:iCs/>
          <w:sz w:val="28"/>
          <w:szCs w:val="28"/>
        </w:rPr>
        <w:t>第二次公示信息</w:t>
      </w:r>
    </w:p>
    <w:p>
      <w:pPr>
        <w:spacing w:line="360" w:lineRule="auto"/>
        <w:ind w:left="112" w:hanging="112" w:hangingChars="40"/>
        <w:jc w:val="center"/>
        <w:rPr>
          <w:rFonts w:eastAsia="黑体"/>
          <w:sz w:val="28"/>
          <w:szCs w:val="28"/>
        </w:rPr>
      </w:pPr>
      <w:r>
        <w:rPr>
          <w:rFonts w:hint="eastAsia" w:eastAsia="黑体"/>
          <w:sz w:val="28"/>
          <w:szCs w:val="28"/>
        </w:rPr>
        <w:t>枣庄盛运生活垃圾焚烧热电联产项目</w:t>
      </w:r>
    </w:p>
    <w:p>
      <w:pPr>
        <w:spacing w:line="360" w:lineRule="auto"/>
        <w:ind w:left="112" w:hanging="112" w:hangingChars="40"/>
        <w:jc w:val="center"/>
        <w:rPr>
          <w:rFonts w:hAnsi="宋体"/>
          <w:sz w:val="24"/>
        </w:rPr>
      </w:pPr>
      <w:r>
        <w:rPr>
          <w:rFonts w:hint="eastAsia" w:eastAsia="黑体"/>
          <w:sz w:val="28"/>
          <w:szCs w:val="28"/>
        </w:rPr>
        <w:t>环境影响评价</w:t>
      </w:r>
      <w:r>
        <w:rPr>
          <w:rFonts w:eastAsia="黑体"/>
          <w:sz w:val="28"/>
          <w:szCs w:val="28"/>
        </w:rPr>
        <w:t>第</w:t>
      </w:r>
      <w:r>
        <w:rPr>
          <w:rFonts w:hint="eastAsia" w:eastAsia="黑体"/>
          <w:sz w:val="28"/>
          <w:szCs w:val="28"/>
        </w:rPr>
        <w:t>二</w:t>
      </w:r>
      <w:r>
        <w:rPr>
          <w:rFonts w:eastAsia="黑体"/>
          <w:sz w:val="28"/>
          <w:szCs w:val="28"/>
        </w:rPr>
        <w:t>次</w:t>
      </w:r>
      <w:r>
        <w:rPr>
          <w:rFonts w:hint="eastAsia" w:eastAsia="黑体"/>
          <w:sz w:val="28"/>
          <w:szCs w:val="28"/>
        </w:rPr>
        <w:t>信息</w:t>
      </w:r>
      <w:r>
        <w:rPr>
          <w:rFonts w:eastAsia="黑体"/>
          <w:sz w:val="28"/>
          <w:szCs w:val="28"/>
        </w:rPr>
        <w:t>公示</w:t>
      </w:r>
    </w:p>
    <w:p>
      <w:pPr>
        <w:widowControl/>
        <w:spacing w:line="360" w:lineRule="auto"/>
        <w:jc w:val="left"/>
        <w:outlineLvl w:val="0"/>
        <w:rPr>
          <w:b/>
          <w:bCs/>
          <w:kern w:val="0"/>
          <w:sz w:val="24"/>
        </w:rPr>
      </w:pPr>
      <w:r>
        <w:rPr>
          <w:b/>
          <w:bCs/>
          <w:kern w:val="0"/>
          <w:sz w:val="24"/>
        </w:rPr>
        <w:t>一、建设项目的名称及概要</w:t>
      </w:r>
    </w:p>
    <w:p>
      <w:pPr>
        <w:spacing w:line="360" w:lineRule="auto"/>
        <w:ind w:firstLine="480" w:firstLineChars="200"/>
        <w:rPr>
          <w:sz w:val="24"/>
        </w:rPr>
      </w:pPr>
      <w:r>
        <w:rPr>
          <w:sz w:val="24"/>
        </w:rPr>
        <w:t>1．项目名称：</w:t>
      </w:r>
      <w:r>
        <w:rPr>
          <w:rFonts w:hint="eastAsia"/>
          <w:sz w:val="24"/>
        </w:rPr>
        <w:t>枣庄盛运生活垃圾焚烧热电联产项目</w:t>
      </w:r>
    </w:p>
    <w:p>
      <w:pPr>
        <w:spacing w:line="360" w:lineRule="auto"/>
        <w:ind w:firstLine="480" w:firstLineChars="200"/>
        <w:rPr>
          <w:sz w:val="24"/>
        </w:rPr>
      </w:pPr>
      <w:r>
        <w:rPr>
          <w:sz w:val="24"/>
        </w:rPr>
        <w:t>2．建设单位：枣庄中科环保电力有限公司</w:t>
      </w:r>
    </w:p>
    <w:p>
      <w:pPr>
        <w:spacing w:line="360" w:lineRule="auto"/>
        <w:ind w:firstLine="480" w:firstLineChars="200"/>
        <w:rPr>
          <w:sz w:val="24"/>
        </w:rPr>
      </w:pPr>
      <w:r>
        <w:rPr>
          <w:sz w:val="24"/>
        </w:rPr>
        <w:t>3．建设性质：</w:t>
      </w:r>
      <w:r>
        <w:rPr>
          <w:rFonts w:hint="eastAsia"/>
          <w:sz w:val="24"/>
        </w:rPr>
        <w:t>扩建</w:t>
      </w:r>
    </w:p>
    <w:p>
      <w:pPr>
        <w:spacing w:line="360" w:lineRule="auto"/>
        <w:ind w:firstLine="480" w:firstLineChars="200"/>
        <w:rPr>
          <w:sz w:val="24"/>
        </w:rPr>
      </w:pPr>
      <w:r>
        <w:rPr>
          <w:sz w:val="24"/>
        </w:rPr>
        <w:t>4．项目规模：</w:t>
      </w:r>
      <w:r>
        <w:rPr>
          <w:rFonts w:hint="eastAsia"/>
          <w:sz w:val="24"/>
        </w:rPr>
        <w:t>入炉</w:t>
      </w:r>
      <w:r>
        <w:rPr>
          <w:sz w:val="24"/>
        </w:rPr>
        <w:t>焚烧处理生活垃圾</w:t>
      </w:r>
      <w:r>
        <w:rPr>
          <w:rFonts w:hint="eastAsia"/>
          <w:sz w:val="24"/>
        </w:rPr>
        <w:t>80</w:t>
      </w:r>
      <w:r>
        <w:rPr>
          <w:sz w:val="24"/>
        </w:rPr>
        <w:t>0吨/天</w:t>
      </w:r>
    </w:p>
    <w:p>
      <w:pPr>
        <w:spacing w:line="360" w:lineRule="auto"/>
        <w:ind w:firstLine="480" w:firstLineChars="200"/>
        <w:rPr>
          <w:sz w:val="24"/>
        </w:rPr>
      </w:pPr>
      <w:r>
        <w:rPr>
          <w:sz w:val="24"/>
        </w:rPr>
        <w:t>5．服务范围：枣庄市五个区（市）</w:t>
      </w:r>
    </w:p>
    <w:p>
      <w:pPr>
        <w:spacing w:line="360" w:lineRule="auto"/>
        <w:ind w:firstLine="480" w:firstLineChars="200"/>
        <w:rPr>
          <w:sz w:val="24"/>
        </w:rPr>
      </w:pPr>
      <w:r>
        <w:rPr>
          <w:sz w:val="24"/>
        </w:rPr>
        <w:t>6．建设内容：</w:t>
      </w:r>
      <w:r>
        <w:rPr>
          <w:rFonts w:hint="eastAsia"/>
          <w:sz w:val="24"/>
        </w:rPr>
        <w:t>建设</w:t>
      </w:r>
      <w:r>
        <w:rPr>
          <w:sz w:val="24"/>
        </w:rPr>
        <w:t>一条800t/d的机械炉排炉焚烧线</w:t>
      </w:r>
      <w:r>
        <w:rPr>
          <w:rFonts w:hint="eastAsia"/>
          <w:sz w:val="24"/>
        </w:rPr>
        <w:t>和</w:t>
      </w:r>
      <w:r>
        <w:rPr>
          <w:sz w:val="24"/>
        </w:rPr>
        <w:t>1台15MW汽轮机发电机组和对应配套系统（包括烟气净化系统，汽轮发电机系统等）。</w:t>
      </w:r>
      <w:r>
        <w:rPr>
          <w:bCs/>
          <w:sz w:val="24"/>
        </w:rPr>
        <w:t>主体工程包括主厂房（焚烧系统、余热利用系统、汽轮发电机组、烟气净化系统；辅助工程（空压机房、除盐水制备车间、石灰浆制备间、消石灰粉仓、活性炭间系统、飞灰稳定化车间、垃圾运输系统等</w:t>
      </w:r>
      <w:r>
        <w:rPr>
          <w:rFonts w:hint="eastAsia"/>
          <w:bCs/>
          <w:sz w:val="24"/>
        </w:rPr>
        <w:t>依托一期改建工程</w:t>
      </w:r>
      <w:r>
        <w:rPr>
          <w:bCs/>
          <w:sz w:val="24"/>
        </w:rPr>
        <w:t>）；公用工程（</w:t>
      </w:r>
      <w:r>
        <w:rPr>
          <w:rFonts w:hint="eastAsia"/>
          <w:bCs/>
          <w:sz w:val="24"/>
        </w:rPr>
        <w:t>依托</w:t>
      </w:r>
      <w:r>
        <w:rPr>
          <w:bCs/>
          <w:sz w:val="24"/>
        </w:rPr>
        <w:t>办公生活区、供水供电设施等）；环保工程（渗滤液处理站、监测系统、废气处理系统、固废处理系统等）；本项目服务年限为30年。</w:t>
      </w:r>
    </w:p>
    <w:p>
      <w:pPr>
        <w:spacing w:line="360" w:lineRule="auto"/>
        <w:ind w:firstLine="480" w:firstLineChars="200"/>
        <w:rPr>
          <w:sz w:val="24"/>
        </w:rPr>
      </w:pPr>
      <w:r>
        <w:rPr>
          <w:sz w:val="24"/>
        </w:rPr>
        <w:t>7．建设地点及占地面积：</w:t>
      </w:r>
      <w:r>
        <w:rPr>
          <w:rFonts w:hint="eastAsia"/>
          <w:sz w:val="24"/>
        </w:rPr>
        <w:t>现有厂区内</w:t>
      </w:r>
      <w:r>
        <w:rPr>
          <w:sz w:val="24"/>
        </w:rPr>
        <w:t>，全厂占地84091.</w:t>
      </w:r>
      <w:r>
        <w:rPr>
          <w:rFonts w:hint="eastAsia"/>
          <w:sz w:val="24"/>
        </w:rPr>
        <w:t>86</w:t>
      </w:r>
      <w:r>
        <w:rPr>
          <w:sz w:val="24"/>
        </w:rPr>
        <w:t>m</w:t>
      </w:r>
      <w:r>
        <w:rPr>
          <w:sz w:val="24"/>
          <w:vertAlign w:val="superscript"/>
        </w:rPr>
        <w:t>2</w:t>
      </w:r>
      <w:r>
        <w:rPr>
          <w:sz w:val="24"/>
        </w:rPr>
        <w:t>。一期征地47833 m</w:t>
      </w:r>
      <w:r>
        <w:rPr>
          <w:sz w:val="24"/>
          <w:vertAlign w:val="superscript"/>
        </w:rPr>
        <w:t>2</w:t>
      </w:r>
      <w:r>
        <w:rPr>
          <w:sz w:val="24"/>
        </w:rPr>
        <w:t>，二期征地用地为36258.86 m</w:t>
      </w:r>
      <w:r>
        <w:rPr>
          <w:sz w:val="24"/>
          <w:vertAlign w:val="superscript"/>
        </w:rPr>
        <w:t>2</w:t>
      </w:r>
      <w:r>
        <w:rPr>
          <w:sz w:val="24"/>
        </w:rPr>
        <w:t>。</w:t>
      </w:r>
    </w:p>
    <w:p>
      <w:pPr>
        <w:spacing w:line="360" w:lineRule="auto"/>
        <w:ind w:firstLine="480" w:firstLineChars="200"/>
        <w:rPr>
          <w:sz w:val="24"/>
        </w:rPr>
      </w:pPr>
      <w:r>
        <w:rPr>
          <w:sz w:val="24"/>
        </w:rPr>
        <w:t>8．工艺方案：将生活垃圾采用机械炉排炉进行焚烧处理，并利用焚烧产生的热能发电；焚烧后产生的飞灰在厂内经稳定</w:t>
      </w:r>
      <w:r>
        <w:rPr>
          <w:rFonts w:hint="eastAsia"/>
          <w:sz w:val="24"/>
        </w:rPr>
        <w:t>化</w:t>
      </w:r>
      <w:r>
        <w:rPr>
          <w:sz w:val="24"/>
        </w:rPr>
        <w:t>处理达到《生活垃圾填埋场污染物控制标准》（GB</w:t>
      </w:r>
      <w:r>
        <w:rPr>
          <w:rFonts w:hint="eastAsia"/>
          <w:sz w:val="24"/>
        </w:rPr>
        <w:t>1</w:t>
      </w:r>
      <w:r>
        <w:rPr>
          <w:sz w:val="24"/>
        </w:rPr>
        <w:t>6889-2008）中的入场要求后运至枣庄粤丰新能源热电联产配套工程（飞灰填埋场）填埋，炉渣将被综合利用。</w:t>
      </w:r>
    </w:p>
    <w:p>
      <w:pPr>
        <w:spacing w:line="360" w:lineRule="auto"/>
        <w:ind w:firstLine="480" w:firstLineChars="200"/>
        <w:rPr>
          <w:sz w:val="24"/>
        </w:rPr>
      </w:pPr>
      <w:r>
        <w:rPr>
          <w:sz w:val="24"/>
        </w:rPr>
        <w:t>9．项目实施进度：预计20</w:t>
      </w:r>
      <w:r>
        <w:rPr>
          <w:rFonts w:hint="eastAsia"/>
          <w:sz w:val="24"/>
        </w:rPr>
        <w:t>20</w:t>
      </w:r>
      <w:r>
        <w:rPr>
          <w:sz w:val="24"/>
        </w:rPr>
        <w:t>年</w:t>
      </w:r>
      <w:r>
        <w:rPr>
          <w:rFonts w:hint="eastAsia"/>
          <w:sz w:val="24"/>
        </w:rPr>
        <w:t>11</w:t>
      </w:r>
      <w:r>
        <w:rPr>
          <w:sz w:val="24"/>
        </w:rPr>
        <w:t>月建设完工。</w:t>
      </w:r>
    </w:p>
    <w:p>
      <w:pPr>
        <w:spacing w:line="360" w:lineRule="auto"/>
        <w:ind w:firstLine="480" w:firstLineChars="200"/>
        <w:rPr>
          <w:sz w:val="24"/>
        </w:rPr>
      </w:pPr>
      <w:r>
        <w:rPr>
          <w:sz w:val="24"/>
        </w:rPr>
        <w:t>10．建设投资：总投资</w:t>
      </w:r>
      <w:r>
        <w:rPr>
          <w:rFonts w:hint="eastAsia"/>
          <w:sz w:val="24"/>
        </w:rPr>
        <w:t>32420万</w:t>
      </w:r>
      <w:r>
        <w:rPr>
          <w:sz w:val="24"/>
        </w:rPr>
        <w:t>元。</w:t>
      </w:r>
    </w:p>
    <w:p>
      <w:pPr>
        <w:spacing w:line="360" w:lineRule="auto"/>
        <w:rPr>
          <w:b/>
          <w:sz w:val="24"/>
        </w:rPr>
      </w:pPr>
      <w:r>
        <w:rPr>
          <w:b/>
          <w:sz w:val="24"/>
        </w:rPr>
        <w:t>二、环境影响及治理措施</w:t>
      </w:r>
    </w:p>
    <w:p>
      <w:pPr>
        <w:pStyle w:val="22"/>
        <w:spacing w:line="360" w:lineRule="auto"/>
        <w:ind w:firstLineChars="200"/>
        <w:rPr>
          <w:rFonts w:ascii="Times New Roman"/>
        </w:rPr>
      </w:pPr>
      <w:r>
        <w:t>1、废气：本项目生活垃圾焚烧废气处理设施：</w:t>
      </w:r>
      <w:r>
        <w:rPr>
          <w:rFonts w:hint="eastAsia"/>
        </w:rPr>
        <w:t>焚烧线的</w:t>
      </w:r>
      <w:r>
        <w:t>焚烧烟气采用“</w:t>
      </w:r>
      <w:r>
        <w:rPr>
          <w:bCs/>
        </w:rPr>
        <w:t>SNCR</w:t>
      </w:r>
      <w:r>
        <w:rPr>
          <w:rFonts w:hint="eastAsia"/>
          <w:bCs/>
        </w:rPr>
        <w:t>脱硝+</w:t>
      </w:r>
      <w:r>
        <w:rPr>
          <w:bCs/>
        </w:rPr>
        <w:t>半干法</w:t>
      </w:r>
      <w:r>
        <w:rPr>
          <w:rFonts w:hint="eastAsia"/>
          <w:bCs/>
        </w:rPr>
        <w:t>脱酸</w:t>
      </w:r>
      <w:r>
        <w:rPr>
          <w:bCs/>
        </w:rPr>
        <w:t>+干法</w:t>
      </w:r>
      <w:r>
        <w:rPr>
          <w:rFonts w:hint="eastAsia"/>
          <w:bCs/>
        </w:rPr>
        <w:t>喷射</w:t>
      </w:r>
      <w:r>
        <w:rPr>
          <w:bCs/>
        </w:rPr>
        <w:t>＋活性炭喷射＋布袋除尘</w:t>
      </w:r>
      <w:r>
        <w:t>”方法净化，</w:t>
      </w:r>
      <w:r>
        <w:rPr>
          <w:rFonts w:hint="eastAsia"/>
        </w:rPr>
        <w:t>处理</w:t>
      </w:r>
      <w:r>
        <w:t>达到《生活垃圾焚烧污染控制标准》(GB18485-2014)</w:t>
      </w:r>
      <w:r>
        <w:rPr>
          <w:rFonts w:hint="eastAsia"/>
        </w:rPr>
        <w:t>及修改单</w:t>
      </w:r>
      <w:r>
        <w:t>中相应小时均值、日均值标准要求</w:t>
      </w:r>
      <w:r>
        <w:rPr>
          <w:rFonts w:hint="eastAsia"/>
        </w:rPr>
        <w:t>、</w:t>
      </w:r>
      <w:r>
        <w:t>《关于进一步加强生物质发电项目环境影响评价管理工作的通知》环发〔2008〕82号文中的要求</w:t>
      </w:r>
      <w:r>
        <w:rPr>
          <w:rFonts w:hint="eastAsia"/>
        </w:rPr>
        <w:t>后</w:t>
      </w:r>
      <w:r>
        <w:t>，经高度为</w:t>
      </w:r>
      <w:r>
        <w:rPr>
          <w:rFonts w:hint="eastAsia"/>
        </w:rPr>
        <w:t>100</w:t>
      </w:r>
      <w:r>
        <w:t>m</w:t>
      </w:r>
      <w:r>
        <w:rPr>
          <w:rFonts w:hint="eastAsia"/>
        </w:rPr>
        <w:t>、内径2.4m</w:t>
      </w:r>
      <w:r>
        <w:t>的烟囱排放</w:t>
      </w:r>
      <w:r>
        <w:rPr>
          <w:rFonts w:hint="eastAsia"/>
        </w:rPr>
        <w:t>（集束式排气筒内）</w:t>
      </w:r>
      <w:r>
        <w:t>。</w:t>
      </w:r>
      <w:r>
        <w:rPr>
          <w:rFonts w:hint="eastAsia" w:ascii="Times New Roman"/>
        </w:rPr>
        <w:t>扩建</w:t>
      </w:r>
      <w:r>
        <w:rPr>
          <w:rFonts w:hint="eastAsia"/>
        </w:rPr>
        <w:t>工程</w:t>
      </w:r>
      <w:r>
        <w:rPr>
          <w:rFonts w:hint="eastAsia" w:ascii="Times New Roman"/>
        </w:rPr>
        <w:t>排放废气安装在线监测，</w:t>
      </w:r>
      <w:r>
        <w:rPr>
          <w:rFonts w:ascii="Times New Roman"/>
        </w:rPr>
        <w:t>烟道设置永久采样孔并设置监测平台，设置一套包括自动比例采样装置在内的烟气在线监测装置，按《生活垃圾焚烧处理工程技术规范》要求，实现对</w:t>
      </w:r>
      <w:r>
        <w:rPr>
          <w:rFonts w:hint="eastAsia" w:ascii="Times New Roman"/>
        </w:rPr>
        <w:t>烟气的流量、温度、压力、湿度、氧浓度、</w:t>
      </w:r>
      <w:r>
        <w:rPr>
          <w:rFonts w:ascii="Times New Roman"/>
        </w:rPr>
        <w:t>烟尘、HCl、SO</w:t>
      </w:r>
      <w:r>
        <w:rPr>
          <w:rFonts w:ascii="Times New Roman"/>
          <w:vertAlign w:val="subscript"/>
        </w:rPr>
        <w:t>2</w:t>
      </w:r>
      <w:r>
        <w:rPr>
          <w:rFonts w:ascii="Times New Roman"/>
        </w:rPr>
        <w:t>、NOx、CO、</w:t>
      </w:r>
      <w:r>
        <w:rPr>
          <w:rFonts w:hint="eastAsia" w:ascii="Times New Roman"/>
        </w:rPr>
        <w:t>HF</w:t>
      </w:r>
      <w:r>
        <w:rPr>
          <w:rFonts w:ascii="Times New Roman"/>
        </w:rPr>
        <w:t>等指标的在线监测。</w:t>
      </w:r>
    </w:p>
    <w:p>
      <w:pPr>
        <w:pStyle w:val="22"/>
        <w:spacing w:line="360" w:lineRule="auto"/>
        <w:ind w:firstLineChars="200"/>
        <w:rPr>
          <w:rFonts w:ascii="Times New Roman"/>
        </w:rPr>
      </w:pPr>
      <w:r>
        <w:rPr>
          <w:rFonts w:ascii="Times New Roman"/>
        </w:rPr>
        <w:t>净化后烟气由引风机送入厂房外的烟囱排入大气。</w:t>
      </w:r>
      <w:r>
        <w:rPr>
          <w:rFonts w:hint="eastAsia" w:ascii="Times New Roman"/>
        </w:rPr>
        <w:t>扩建工程</w:t>
      </w:r>
      <w:r>
        <w:rPr>
          <w:rFonts w:ascii="Times New Roman"/>
        </w:rPr>
        <w:t>生产线配1根高度100m，内径</w:t>
      </w:r>
      <w:r>
        <w:rPr>
          <w:rFonts w:hint="eastAsia" w:ascii="Times New Roman"/>
        </w:rPr>
        <w:t>2.4</w:t>
      </w:r>
      <w:r>
        <w:rPr>
          <w:rFonts w:ascii="Times New Roman"/>
        </w:rPr>
        <w:t>m</w:t>
      </w:r>
      <w:r>
        <w:rPr>
          <w:rFonts w:hint="eastAsia" w:ascii="Times New Roman"/>
        </w:rPr>
        <w:t>的排气筒</w:t>
      </w:r>
      <w:r>
        <w:rPr>
          <w:rFonts w:hint="eastAsia"/>
        </w:rPr>
        <w:t>（集束式排气筒内，扩建工程为2#排气筒）</w:t>
      </w:r>
      <w:r>
        <w:rPr>
          <w:rFonts w:ascii="Times New Roman"/>
        </w:rPr>
        <w:t>。</w:t>
      </w:r>
    </w:p>
    <w:p>
      <w:pPr>
        <w:spacing w:line="360" w:lineRule="auto"/>
        <w:ind w:firstLine="420" w:firstLineChars="200"/>
        <w:rPr>
          <w:sz w:val="24"/>
          <w:szCs w:val="22"/>
        </w:rPr>
      </w:pPr>
      <w:r>
        <w:t>2、</w:t>
      </w:r>
      <w:r>
        <w:rPr>
          <w:sz w:val="24"/>
        </w:rPr>
        <w:t>废水：</w:t>
      </w:r>
      <w:r>
        <w:rPr>
          <w:rFonts w:hint="eastAsia"/>
          <w:sz w:val="24"/>
          <w:szCs w:val="22"/>
        </w:rPr>
        <w:t>扩建工程</w:t>
      </w:r>
      <w:r>
        <w:rPr>
          <w:sz w:val="24"/>
          <w:szCs w:val="22"/>
        </w:rPr>
        <w:t>废水主要包括垃圾渗滤液、</w:t>
      </w:r>
      <w:r>
        <w:rPr>
          <w:rFonts w:hint="eastAsia"/>
          <w:sz w:val="24"/>
          <w:szCs w:val="22"/>
        </w:rPr>
        <w:t>生活废水、循环排污水、</w:t>
      </w:r>
      <w:r>
        <w:rPr>
          <w:sz w:val="24"/>
          <w:szCs w:val="22"/>
        </w:rPr>
        <w:t>锅炉化水除盐水设备反冲洗废水</w:t>
      </w:r>
      <w:r>
        <w:rPr>
          <w:rFonts w:hint="eastAsia"/>
          <w:sz w:val="24"/>
          <w:szCs w:val="22"/>
        </w:rPr>
        <w:t>、车间冲洗废水、化验室废水等，</w:t>
      </w:r>
      <w:r>
        <w:rPr>
          <w:sz w:val="24"/>
          <w:szCs w:val="22"/>
        </w:rPr>
        <w:t>垃圾渗滤液进入渗滤液处理站处理，渗滤液处理站采用</w:t>
      </w:r>
      <w:r>
        <w:rPr>
          <w:rFonts w:hint="eastAsia"/>
          <w:sz w:val="24"/>
          <w:szCs w:val="22"/>
        </w:rPr>
        <w:t xml:space="preserve"> “</w:t>
      </w:r>
      <w:r>
        <w:rPr>
          <w:rFonts w:hint="eastAsia"/>
          <w:b/>
          <w:sz w:val="24"/>
        </w:rPr>
        <w:t>预处理+UASB高效厌氧反应器+A/O好氧系统+MBR生化处理系统+NF纳滤膜系统+RO反渗透系统</w:t>
      </w:r>
      <w:r>
        <w:rPr>
          <w:sz w:val="24"/>
          <w:szCs w:val="22"/>
        </w:rPr>
        <w:t>处理工艺，处理后出水达到《生活垃圾填埋场污染控制标准》（GB16889-2008）表2水污染物排放标准及</w:t>
      </w:r>
      <w:r>
        <w:rPr>
          <w:rFonts w:hint="eastAsia"/>
          <w:sz w:val="24"/>
          <w:szCs w:val="22"/>
        </w:rPr>
        <w:t>薛城区陶庄镇</w:t>
      </w:r>
      <w:r>
        <w:rPr>
          <w:sz w:val="24"/>
          <w:szCs w:val="22"/>
        </w:rPr>
        <w:t>污水处理厂</w:t>
      </w:r>
      <w:r>
        <w:rPr>
          <w:rFonts w:hint="eastAsia"/>
          <w:sz w:val="24"/>
          <w:szCs w:val="22"/>
        </w:rPr>
        <w:t>进水</w:t>
      </w:r>
      <w:r>
        <w:rPr>
          <w:sz w:val="24"/>
          <w:szCs w:val="22"/>
        </w:rPr>
        <w:t>水质标准后送至</w:t>
      </w:r>
      <w:r>
        <w:rPr>
          <w:rFonts w:hint="eastAsia"/>
          <w:sz w:val="24"/>
          <w:szCs w:val="22"/>
        </w:rPr>
        <w:t>薛城区陶庄镇</w:t>
      </w:r>
      <w:r>
        <w:rPr>
          <w:sz w:val="24"/>
          <w:szCs w:val="22"/>
        </w:rPr>
        <w:t>污水处理厂处理。锅炉化水除盐水设备反冲洗废水</w:t>
      </w:r>
      <w:r>
        <w:rPr>
          <w:rFonts w:hint="eastAsia"/>
          <w:sz w:val="24"/>
          <w:szCs w:val="22"/>
        </w:rPr>
        <w:t>、循环排污水、化验室废水、车间冲洗水等经厂区污水管网收集后经厂区废水总排口进入</w:t>
      </w:r>
      <w:r>
        <w:rPr>
          <w:sz w:val="24"/>
          <w:szCs w:val="22"/>
        </w:rPr>
        <w:t>市政</w:t>
      </w:r>
      <w:r>
        <w:rPr>
          <w:rFonts w:hint="eastAsia"/>
          <w:sz w:val="24"/>
          <w:szCs w:val="22"/>
        </w:rPr>
        <w:t>污水</w:t>
      </w:r>
      <w:r>
        <w:rPr>
          <w:sz w:val="24"/>
          <w:szCs w:val="22"/>
        </w:rPr>
        <w:t>管网后送至</w:t>
      </w:r>
      <w:r>
        <w:rPr>
          <w:rFonts w:hint="eastAsia"/>
          <w:sz w:val="24"/>
          <w:szCs w:val="22"/>
        </w:rPr>
        <w:t>薛城区陶庄镇</w:t>
      </w:r>
      <w:r>
        <w:rPr>
          <w:sz w:val="24"/>
          <w:szCs w:val="22"/>
        </w:rPr>
        <w:t>污水处理厂处理。生活污水</w:t>
      </w:r>
      <w:r>
        <w:rPr>
          <w:rFonts w:hint="eastAsia"/>
          <w:sz w:val="24"/>
          <w:szCs w:val="22"/>
        </w:rPr>
        <w:t>经厂区内地埋式一体化污水处理设备处理后</w:t>
      </w:r>
      <w:r>
        <w:rPr>
          <w:sz w:val="24"/>
          <w:szCs w:val="22"/>
        </w:rPr>
        <w:t>经厂区废水总排放口直接经市政污水管网收集，送至</w:t>
      </w:r>
      <w:r>
        <w:rPr>
          <w:rFonts w:hint="eastAsia"/>
          <w:sz w:val="24"/>
          <w:szCs w:val="22"/>
        </w:rPr>
        <w:t>薛城区陶庄镇</w:t>
      </w:r>
      <w:r>
        <w:rPr>
          <w:sz w:val="24"/>
          <w:szCs w:val="22"/>
        </w:rPr>
        <w:t>污水处理厂处理。</w:t>
      </w:r>
    </w:p>
    <w:p>
      <w:pPr>
        <w:spacing w:line="360" w:lineRule="auto"/>
        <w:ind w:firstLine="480" w:firstLineChars="200"/>
        <w:rPr>
          <w:sz w:val="24"/>
        </w:rPr>
      </w:pPr>
      <w:r>
        <w:rPr>
          <w:sz w:val="24"/>
        </w:rPr>
        <w:t>3、固体废物：项目产生的固体废物主要为焚烧炉产生的炉渣及飞灰、</w:t>
      </w:r>
      <w:r>
        <w:rPr>
          <w:rFonts w:hint="eastAsia"/>
          <w:sz w:val="24"/>
        </w:rPr>
        <w:t>化水制备过程中产生的废离子交换树脂、</w:t>
      </w:r>
      <w:r>
        <w:rPr>
          <w:sz w:val="24"/>
        </w:rPr>
        <w:t>设备润滑产生的废矿物油、除尘器产生的废布袋、渗滤液处理产生的废过滤膜、</w:t>
      </w:r>
      <w:r>
        <w:rPr>
          <w:rFonts w:hint="eastAsia"/>
          <w:sz w:val="24"/>
        </w:rPr>
        <w:t>除臭</w:t>
      </w:r>
      <w:r>
        <w:rPr>
          <w:sz w:val="24"/>
        </w:rPr>
        <w:t>设备产生的废活性炭、</w:t>
      </w:r>
      <w:r>
        <w:rPr>
          <w:rFonts w:hint="eastAsia"/>
          <w:sz w:val="24"/>
        </w:rPr>
        <w:t>渗滤液和</w:t>
      </w:r>
      <w:r>
        <w:rPr>
          <w:sz w:val="24"/>
        </w:rPr>
        <w:t>污水</w:t>
      </w:r>
      <w:r>
        <w:rPr>
          <w:rFonts w:hint="eastAsia"/>
          <w:sz w:val="24"/>
        </w:rPr>
        <w:t>处理系统产生的污泥以及厂内职工产生的生活垃圾等。炉渣将被</w:t>
      </w:r>
      <w:r>
        <w:rPr>
          <w:sz w:val="24"/>
        </w:rPr>
        <w:t>综合利用</w:t>
      </w:r>
      <w:r>
        <w:rPr>
          <w:rFonts w:hint="eastAsia"/>
          <w:sz w:val="24"/>
        </w:rPr>
        <w:t>；</w:t>
      </w:r>
      <w:r>
        <w:rPr>
          <w:sz w:val="24"/>
        </w:rPr>
        <w:t>飞灰输送到</w:t>
      </w:r>
      <w:r>
        <w:rPr>
          <w:rFonts w:hint="eastAsia"/>
          <w:sz w:val="24"/>
        </w:rPr>
        <w:t>稳定</w:t>
      </w:r>
      <w:r>
        <w:rPr>
          <w:sz w:val="24"/>
        </w:rPr>
        <w:t>化车间，稳定化后满足《生活垃圾填埋污染控制标准》（GB16889-2008）中关于生活垃圾焚烧飞灰进入垃圾填埋场的要求后，</w:t>
      </w:r>
      <w:r>
        <w:rPr>
          <w:rFonts w:hint="eastAsia"/>
          <w:sz w:val="24"/>
        </w:rPr>
        <w:t>送至枣庄粤丰新能源热电联产配套工程填埋；废离子交换树脂、</w:t>
      </w:r>
      <w:r>
        <w:rPr>
          <w:sz w:val="24"/>
        </w:rPr>
        <w:t>废矿物油、</w:t>
      </w:r>
      <w:r>
        <w:rPr>
          <w:rFonts w:hint="eastAsia"/>
          <w:sz w:val="24"/>
        </w:rPr>
        <w:t>废</w:t>
      </w:r>
      <w:r>
        <w:rPr>
          <w:sz w:val="24"/>
        </w:rPr>
        <w:t>布袋交由</w:t>
      </w:r>
      <w:r>
        <w:rPr>
          <w:rFonts w:hint="eastAsia"/>
          <w:sz w:val="24"/>
        </w:rPr>
        <w:t>有相应危废处置</w:t>
      </w:r>
      <w:r>
        <w:rPr>
          <w:sz w:val="24"/>
        </w:rPr>
        <w:t>资质的单位</w:t>
      </w:r>
      <w:r>
        <w:rPr>
          <w:rFonts w:hint="eastAsia"/>
          <w:sz w:val="24"/>
        </w:rPr>
        <w:t>接收处置；</w:t>
      </w:r>
      <w:r>
        <w:rPr>
          <w:sz w:val="24"/>
        </w:rPr>
        <w:t>废过滤膜由厂家回收；废活性炭、污泥和生活垃圾收集后送至焚烧炉进行焚烧，不外排。</w:t>
      </w:r>
    </w:p>
    <w:p>
      <w:pPr>
        <w:spacing w:line="360" w:lineRule="auto"/>
        <w:ind w:firstLine="480" w:firstLineChars="200"/>
        <w:rPr>
          <w:sz w:val="24"/>
        </w:rPr>
      </w:pPr>
      <w:r>
        <w:rPr>
          <w:sz w:val="24"/>
        </w:rPr>
        <w:t>4、噪声：</w:t>
      </w:r>
      <w:r>
        <w:rPr>
          <w:rFonts w:hint="eastAsia"/>
          <w:sz w:val="24"/>
        </w:rPr>
        <w:t>本项目</w:t>
      </w:r>
      <w:r>
        <w:rPr>
          <w:sz w:val="24"/>
        </w:rPr>
        <w:t>根据噪声源及源强特点，</w:t>
      </w:r>
      <w:r>
        <w:rPr>
          <w:rFonts w:hint="eastAsia"/>
          <w:sz w:val="24"/>
        </w:rPr>
        <w:t>选用低噪声设备、减振、隔声、消音、优化厂区平面布置等</w:t>
      </w:r>
      <w:r>
        <w:rPr>
          <w:sz w:val="24"/>
        </w:rPr>
        <w:t>噪声防治措施</w:t>
      </w:r>
      <w:r>
        <w:rPr>
          <w:rFonts w:hint="eastAsia"/>
          <w:sz w:val="24"/>
        </w:rPr>
        <w:t>。</w:t>
      </w:r>
    </w:p>
    <w:p>
      <w:pPr>
        <w:spacing w:line="360" w:lineRule="auto"/>
        <w:ind w:firstLine="480" w:firstLineChars="200"/>
        <w:rPr>
          <w:sz w:val="24"/>
        </w:rPr>
      </w:pPr>
      <w:r>
        <w:rPr>
          <w:rFonts w:hint="eastAsia"/>
          <w:sz w:val="24"/>
        </w:rPr>
        <w:t>5、环境风险：项目在设计中充分考虑了各种危险因素和可能造成的危害，并采取了相应的防范措施，其环境风险可防可控，根据《建设项目环境风险评价技术导则》(HJ169-2018)，只要各工作岗位严格遵守岗位操作规程，避免误操作，加强设备的维护和管理，严格落实环评提出的各项防范措施和应急预案后，其环境风险就可防可控，项目建设是可行的。</w:t>
      </w:r>
    </w:p>
    <w:p>
      <w:pPr>
        <w:spacing w:line="360" w:lineRule="auto"/>
        <w:ind w:firstLine="480" w:firstLineChars="200"/>
        <w:rPr>
          <w:sz w:val="24"/>
        </w:rPr>
      </w:pPr>
      <w:r>
        <w:rPr>
          <w:rFonts w:hint="eastAsia"/>
          <w:sz w:val="24"/>
        </w:rPr>
        <w:t>6、施工期影响</w:t>
      </w:r>
    </w:p>
    <w:p>
      <w:pPr>
        <w:spacing w:line="360" w:lineRule="auto"/>
        <w:ind w:firstLine="480" w:firstLineChars="200"/>
        <w:rPr>
          <w:sz w:val="24"/>
        </w:rPr>
      </w:pPr>
      <w:r>
        <w:rPr>
          <w:rFonts w:hint="eastAsia"/>
          <w:sz w:val="24"/>
        </w:rPr>
        <w:t>通过采取洒水降尘、设置围挡、选用低噪声设备并控制高噪声时段等措施，降低施工期对环境的影响。</w:t>
      </w:r>
    </w:p>
    <w:p>
      <w:pPr>
        <w:spacing w:line="360" w:lineRule="auto"/>
        <w:outlineLvl w:val="0"/>
        <w:rPr>
          <w:b/>
          <w:sz w:val="24"/>
        </w:rPr>
      </w:pPr>
      <w:r>
        <w:rPr>
          <w:b/>
          <w:sz w:val="24"/>
        </w:rPr>
        <w:t>三、</w:t>
      </w:r>
      <w:r>
        <w:rPr>
          <w:rFonts w:hint="eastAsia"/>
          <w:b/>
          <w:sz w:val="24"/>
        </w:rPr>
        <w:t>环境影响评价结论要</w:t>
      </w:r>
      <w:r>
        <w:rPr>
          <w:b/>
          <w:sz w:val="24"/>
        </w:rPr>
        <w:t>点</w:t>
      </w:r>
    </w:p>
    <w:p>
      <w:pPr>
        <w:spacing w:line="360" w:lineRule="auto"/>
        <w:ind w:firstLine="480" w:firstLineChars="200"/>
        <w:rPr>
          <w:sz w:val="24"/>
        </w:rPr>
      </w:pPr>
      <w:r>
        <w:rPr>
          <w:rFonts w:hint="eastAsia"/>
          <w:sz w:val="24"/>
        </w:rPr>
        <w:t>项目</w:t>
      </w:r>
      <w:r>
        <w:rPr>
          <w:sz w:val="24"/>
        </w:rPr>
        <w:t>符合</w:t>
      </w:r>
      <w:r>
        <w:rPr>
          <w:rFonts w:hint="eastAsia"/>
          <w:sz w:val="24"/>
        </w:rPr>
        <w:t>国家产业政策要求；经落实各项污染治理措施后，</w:t>
      </w:r>
      <w:r>
        <w:rPr>
          <w:sz w:val="24"/>
        </w:rPr>
        <w:t>工程污染物产生与排放均能够满足相应标准要求，工程建设对</w:t>
      </w:r>
      <w:r>
        <w:rPr>
          <w:rFonts w:hint="eastAsia"/>
          <w:sz w:val="24"/>
        </w:rPr>
        <w:t>周围</w:t>
      </w:r>
      <w:r>
        <w:rPr>
          <w:sz w:val="24"/>
        </w:rPr>
        <w:t>环境的影响较小；工程具有良好的经济效益、环境效益和社会效益。</w:t>
      </w:r>
      <w:r>
        <w:rPr>
          <w:rFonts w:hint="eastAsia"/>
          <w:sz w:val="24"/>
        </w:rPr>
        <w:t>从环保角度分析，项目</w:t>
      </w:r>
      <w:r>
        <w:rPr>
          <w:sz w:val="24"/>
        </w:rPr>
        <w:t>建设可行。</w:t>
      </w:r>
    </w:p>
    <w:p>
      <w:pPr>
        <w:spacing w:line="360" w:lineRule="auto"/>
        <w:outlineLvl w:val="0"/>
        <w:rPr>
          <w:b/>
          <w:bCs/>
          <w:sz w:val="24"/>
        </w:rPr>
      </w:pPr>
      <w:r>
        <w:rPr>
          <w:b/>
          <w:bCs/>
          <w:sz w:val="24"/>
        </w:rPr>
        <w:t>四、公众查阅环境影响报告书</w:t>
      </w:r>
      <w:r>
        <w:rPr>
          <w:rFonts w:hint="eastAsia"/>
          <w:b/>
          <w:bCs/>
          <w:sz w:val="24"/>
        </w:rPr>
        <w:t>公示</w:t>
      </w:r>
      <w:r>
        <w:rPr>
          <w:b/>
          <w:bCs/>
          <w:sz w:val="24"/>
        </w:rPr>
        <w:t>本的方式</w:t>
      </w:r>
    </w:p>
    <w:p>
      <w:pPr>
        <w:spacing w:line="360" w:lineRule="auto"/>
        <w:ind w:firstLine="480" w:firstLineChars="200"/>
        <w:rPr>
          <w:sz w:val="24"/>
        </w:rPr>
      </w:pPr>
      <w:r>
        <w:rPr>
          <w:rFonts w:hint="eastAsia"/>
          <w:sz w:val="24"/>
        </w:rPr>
        <w:t>枣庄盛运生活垃圾焚烧热电联产项目环境影响报告书</w:t>
      </w:r>
      <w:r>
        <w:rPr>
          <w:sz w:val="24"/>
        </w:rPr>
        <w:t>（</w:t>
      </w:r>
      <w:r>
        <w:rPr>
          <w:rFonts w:hint="eastAsia"/>
          <w:sz w:val="24"/>
        </w:rPr>
        <w:t>征求意见稿纸质版</w:t>
      </w:r>
      <w:r>
        <w:rPr>
          <w:sz w:val="24"/>
        </w:rPr>
        <w:t>）可到</w:t>
      </w:r>
      <w:r>
        <w:rPr>
          <w:rFonts w:hint="eastAsia"/>
          <w:bCs/>
          <w:sz w:val="24"/>
        </w:rPr>
        <w:t>枣庄中科环保电力有限公司</w:t>
      </w:r>
      <w:r>
        <w:rPr>
          <w:rFonts w:hint="eastAsia"/>
          <w:sz w:val="24"/>
        </w:rPr>
        <w:t>现场查阅，电子版征求意见稿可在公示的网络链接中自行下载。</w:t>
      </w:r>
    </w:p>
    <w:p>
      <w:pPr>
        <w:spacing w:line="360" w:lineRule="auto"/>
        <w:outlineLvl w:val="0"/>
        <w:rPr>
          <w:b/>
          <w:bCs/>
          <w:sz w:val="24"/>
        </w:rPr>
      </w:pPr>
      <w:r>
        <w:rPr>
          <w:b/>
          <w:bCs/>
          <w:sz w:val="24"/>
        </w:rPr>
        <w:t>五、征求公众意见的范围和主要事项</w:t>
      </w:r>
    </w:p>
    <w:p>
      <w:pPr>
        <w:spacing w:line="360" w:lineRule="auto"/>
        <w:ind w:firstLine="480" w:firstLineChars="200"/>
        <w:rPr>
          <w:sz w:val="24"/>
        </w:rPr>
      </w:pPr>
      <w:r>
        <w:rPr>
          <w:sz w:val="24"/>
        </w:rPr>
        <w:t>本次公众意见征求范围包括受建设项目影响的公民、法人或者组织的代表，以及其他关心本项目建设的公众。</w:t>
      </w:r>
    </w:p>
    <w:p>
      <w:pPr>
        <w:spacing w:line="360" w:lineRule="auto"/>
        <w:outlineLvl w:val="0"/>
        <w:rPr>
          <w:b/>
          <w:bCs/>
          <w:sz w:val="24"/>
        </w:rPr>
      </w:pPr>
      <w:r>
        <w:rPr>
          <w:b/>
          <w:bCs/>
          <w:sz w:val="24"/>
        </w:rPr>
        <w:t>六、征求公众意见的具体形式</w:t>
      </w:r>
    </w:p>
    <w:p>
      <w:pPr>
        <w:spacing w:line="360" w:lineRule="auto"/>
        <w:ind w:firstLine="480" w:firstLineChars="200"/>
        <w:rPr>
          <w:sz w:val="24"/>
        </w:rPr>
      </w:pPr>
      <w:r>
        <w:rPr>
          <w:rFonts w:hint="eastAsia"/>
          <w:sz w:val="24"/>
        </w:rPr>
        <w:t>公众可以通过信函、传真、电子邮件或者建设单位提供的其他方式，在规定时间内将填写的公众意见表等提交建设单位，反映与建设项目环境影响有关的意见和建议。提交意见时，应当提供有效的联系方式。</w:t>
      </w:r>
    </w:p>
    <w:p>
      <w:pPr>
        <w:spacing w:line="360" w:lineRule="auto"/>
        <w:ind w:firstLine="480" w:firstLineChars="200"/>
        <w:rPr>
          <w:sz w:val="24"/>
        </w:rPr>
      </w:pPr>
      <w:r>
        <w:rPr>
          <w:rFonts w:hint="eastAsia"/>
          <w:sz w:val="24"/>
        </w:rPr>
        <w:t>生态环境部公告2018年第48号发布《环境影响评价公众参与办法》配套文件的公告中两个附件分别为建设项目环境影响评价公众意见表和建设项目环境影响评价公众参与说明格式要求两个项目配套文件，公众可登陆生态环境部官网下载意见表进行填写反馈，网址如下：</w:t>
      </w:r>
    </w:p>
    <w:p>
      <w:pPr>
        <w:spacing w:line="360" w:lineRule="auto"/>
        <w:ind w:firstLine="420" w:firstLineChars="200"/>
        <w:rPr>
          <w:sz w:val="24"/>
        </w:rPr>
      </w:pPr>
      <w:r>
        <w:fldChar w:fldCharType="begin"/>
      </w:r>
      <w:r>
        <w:instrText xml:space="preserve"> HYPERLINK "http://www.mee.gov.cn/xxgk2018/xxgk/xxgk01/201810/t20181024_665329.html" </w:instrText>
      </w:r>
      <w:r>
        <w:fldChar w:fldCharType="separate"/>
      </w:r>
      <w:r>
        <w:rPr>
          <w:rStyle w:val="13"/>
          <w:sz w:val="24"/>
        </w:rPr>
        <w:t>http://www.mee.gov.cn/xxgk2018/xxgk/xxgk01/201810/t20181024_665329.html</w:t>
      </w:r>
      <w:r>
        <w:rPr>
          <w:rStyle w:val="13"/>
          <w:sz w:val="24"/>
        </w:rPr>
        <w:fldChar w:fldCharType="end"/>
      </w:r>
    </w:p>
    <w:p>
      <w:pPr>
        <w:spacing w:line="360" w:lineRule="auto"/>
        <w:ind w:firstLine="480" w:firstLineChars="200"/>
        <w:rPr>
          <w:sz w:val="24"/>
        </w:rPr>
      </w:pPr>
      <w:r>
        <w:rPr>
          <w:sz w:val="24"/>
        </w:rPr>
        <w:t>公众联系建设单位方式：</w:t>
      </w:r>
    </w:p>
    <w:p>
      <w:pPr>
        <w:spacing w:line="360" w:lineRule="auto"/>
        <w:ind w:firstLine="480" w:firstLineChars="200"/>
        <w:rPr>
          <w:sz w:val="24"/>
        </w:rPr>
      </w:pPr>
      <w:r>
        <w:rPr>
          <w:sz w:val="24"/>
        </w:rPr>
        <w:t>建设单位：</w:t>
      </w:r>
      <w:r>
        <w:rPr>
          <w:rFonts w:hint="eastAsia"/>
          <w:bCs/>
          <w:sz w:val="24"/>
        </w:rPr>
        <w:t>枣庄中科环保电力有限公司</w:t>
      </w:r>
      <w:r>
        <w:rPr>
          <w:rFonts w:hint="eastAsia"/>
          <w:sz w:val="24"/>
        </w:rPr>
        <w:t xml:space="preserve">     联系电话：18806376956</w:t>
      </w:r>
    </w:p>
    <w:p>
      <w:pPr>
        <w:spacing w:line="360" w:lineRule="auto"/>
        <w:outlineLvl w:val="0"/>
        <w:rPr>
          <w:b/>
          <w:bCs/>
          <w:sz w:val="24"/>
        </w:rPr>
      </w:pPr>
      <w:r>
        <w:rPr>
          <w:b/>
          <w:bCs/>
          <w:sz w:val="24"/>
        </w:rPr>
        <w:t>七、公众提出意见的起止时间</w:t>
      </w:r>
    </w:p>
    <w:p>
      <w:pPr>
        <w:spacing w:line="360" w:lineRule="auto"/>
        <w:ind w:firstLine="480" w:firstLineChars="200"/>
        <w:rPr>
          <w:sz w:val="24"/>
        </w:rPr>
      </w:pPr>
      <w:r>
        <w:rPr>
          <w:sz w:val="24"/>
        </w:rPr>
        <w:t>本次公众公告意见征求时间是公示期限</w:t>
      </w:r>
      <w:r>
        <w:rPr>
          <w:rFonts w:hint="eastAsia"/>
          <w:sz w:val="24"/>
        </w:rPr>
        <w:t>为十个工作日，</w:t>
      </w:r>
      <w:r>
        <w:rPr>
          <w:sz w:val="24"/>
        </w:rPr>
        <w:t>请公众在此期限范围内提出宝贵意见。</w:t>
      </w:r>
    </w:p>
    <w:p>
      <w:pPr>
        <w:spacing w:line="360" w:lineRule="auto"/>
        <w:jc w:val="right"/>
        <w:rPr>
          <w:bCs/>
          <w:sz w:val="24"/>
        </w:rPr>
      </w:pPr>
      <w:r>
        <w:rPr>
          <w:rFonts w:hint="eastAsia"/>
          <w:bCs/>
          <w:sz w:val="24"/>
        </w:rPr>
        <w:t>枣庄中科环保电力有限公司</w:t>
      </w:r>
    </w:p>
    <w:p>
      <w:pPr>
        <w:wordWrap w:val="0"/>
        <w:spacing w:line="360" w:lineRule="auto"/>
        <w:jc w:val="right"/>
        <w:rPr>
          <w:color w:val="FF0000"/>
          <w:sz w:val="24"/>
        </w:rPr>
      </w:pPr>
      <w:r>
        <w:rPr>
          <w:rFonts w:hint="eastAsia"/>
          <w:sz w:val="24"/>
        </w:rPr>
        <w:t xml:space="preserve"> 2020.3.10         </w:t>
      </w:r>
    </w:p>
    <w:sectPr>
      <w:footerReference r:id="rId3" w:type="default"/>
      <w:pgSz w:w="11906" w:h="16838"/>
      <w:pgMar w:top="1440" w:right="1418" w:bottom="1440" w:left="1418"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00004FF" w:usb2="00000000" w:usb3="00000000" w:csb0="2000019F"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_x0000_s4097" o:spid="_x0000_s4097"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8D50D4"/>
    <w:multiLevelType w:val="multilevel"/>
    <w:tmpl w:val="6B8D50D4"/>
    <w:lvl w:ilvl="0" w:tentative="0">
      <w:start w:val="1"/>
      <w:numFmt w:val="decimal"/>
      <w:pStyle w:val="3"/>
      <w:suff w:val="space"/>
      <w:lvlText w:val="第 %1 章  "/>
      <w:lvlJc w:val="left"/>
      <w:pPr>
        <w:ind w:left="567" w:hanging="567"/>
      </w:pPr>
      <w:rPr>
        <w:rFonts w:hint="default" w:ascii="Times New Roman" w:hAnsi="Times New Roman" w:eastAsia="宋体" w:cs="Times New Roman"/>
        <w:b/>
        <w:i w:val="0"/>
        <w:sz w:val="32"/>
      </w:rPr>
    </w:lvl>
    <w:lvl w:ilvl="1" w:tentative="0">
      <w:start w:val="1"/>
      <w:numFmt w:val="decimal"/>
      <w:pStyle w:val="4"/>
      <w:isLgl/>
      <w:lvlText w:val="%1.%2."/>
      <w:lvlJc w:val="left"/>
      <w:pPr>
        <w:tabs>
          <w:tab w:val="left" w:pos="737"/>
        </w:tabs>
        <w:ind w:left="737" w:hanging="737"/>
      </w:pPr>
      <w:rPr>
        <w:rFonts w:hint="default" w:ascii="Times New Roman" w:hAnsi="Times New Roman" w:eastAsia="宋体" w:cs="Times New Roman"/>
        <w:b w:val="0"/>
        <w:i w:val="0"/>
        <w:caps w:val="0"/>
        <w:strike w:val="0"/>
        <w:dstrike w:val="0"/>
        <w:outline w:val="0"/>
        <w:shadow w:val="0"/>
        <w:emboss w:val="0"/>
        <w:imprint w:val="0"/>
        <w:vanish w:val="0"/>
        <w:sz w:val="28"/>
        <w:u w:val="none"/>
        <w:vertAlign w:val="baseline"/>
      </w:rPr>
    </w:lvl>
    <w:lvl w:ilvl="2" w:tentative="0">
      <w:start w:val="1"/>
      <w:numFmt w:val="decimal"/>
      <w:isLgl/>
      <w:lvlText w:val="%1.%2.%3."/>
      <w:lvlJc w:val="left"/>
      <w:pPr>
        <w:tabs>
          <w:tab w:val="left" w:pos="1080"/>
        </w:tabs>
        <w:ind w:left="227" w:hanging="227"/>
      </w:pPr>
      <w:rPr>
        <w:b w:val="0"/>
        <w:i w:val="0"/>
      </w:rPr>
    </w:lvl>
    <w:lvl w:ilvl="3" w:tentative="0">
      <w:start w:val="1"/>
      <w:numFmt w:val="decimal"/>
      <w:isLgl/>
      <w:lvlText w:val="%1.%2.%3.%4."/>
      <w:lvlJc w:val="left"/>
      <w:pPr>
        <w:tabs>
          <w:tab w:val="left" w:pos="851"/>
        </w:tabs>
        <w:ind w:left="851" w:hanging="851"/>
      </w:pPr>
      <w:rPr>
        <w:rFonts w:hint="default" w:ascii="Times New Roman" w:hAnsi="Times New Roman" w:cs="Times New Roman"/>
        <w:b w:val="0"/>
        <w:i w:val="0"/>
        <w:sz w:val="24"/>
      </w:r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207BEF"/>
    <w:rsid w:val="00010990"/>
    <w:rsid w:val="00064804"/>
    <w:rsid w:val="000A7284"/>
    <w:rsid w:val="00126EB8"/>
    <w:rsid w:val="001631C0"/>
    <w:rsid w:val="00192B8C"/>
    <w:rsid w:val="001B1E0F"/>
    <w:rsid w:val="001C30AF"/>
    <w:rsid w:val="00207BEF"/>
    <w:rsid w:val="0027234B"/>
    <w:rsid w:val="002E4E56"/>
    <w:rsid w:val="003139EE"/>
    <w:rsid w:val="003432FF"/>
    <w:rsid w:val="003B66BE"/>
    <w:rsid w:val="003C0E24"/>
    <w:rsid w:val="00417DB4"/>
    <w:rsid w:val="004217EA"/>
    <w:rsid w:val="004310C2"/>
    <w:rsid w:val="00435027"/>
    <w:rsid w:val="004941AB"/>
    <w:rsid w:val="004E3DF1"/>
    <w:rsid w:val="0050695C"/>
    <w:rsid w:val="005073C3"/>
    <w:rsid w:val="00516AFB"/>
    <w:rsid w:val="00556B5D"/>
    <w:rsid w:val="0056097F"/>
    <w:rsid w:val="00561943"/>
    <w:rsid w:val="005703D1"/>
    <w:rsid w:val="005A54FB"/>
    <w:rsid w:val="005B7DD2"/>
    <w:rsid w:val="005C3565"/>
    <w:rsid w:val="005C53A7"/>
    <w:rsid w:val="0061323B"/>
    <w:rsid w:val="006E7993"/>
    <w:rsid w:val="00747B2B"/>
    <w:rsid w:val="00754701"/>
    <w:rsid w:val="00787D2D"/>
    <w:rsid w:val="007B7222"/>
    <w:rsid w:val="007C7D03"/>
    <w:rsid w:val="008E56B4"/>
    <w:rsid w:val="00907315"/>
    <w:rsid w:val="0095113E"/>
    <w:rsid w:val="009515A8"/>
    <w:rsid w:val="0097594D"/>
    <w:rsid w:val="00A73896"/>
    <w:rsid w:val="00A814C0"/>
    <w:rsid w:val="00AC0826"/>
    <w:rsid w:val="00B8390C"/>
    <w:rsid w:val="00B926E9"/>
    <w:rsid w:val="00C23AEE"/>
    <w:rsid w:val="00C345CF"/>
    <w:rsid w:val="00C40F78"/>
    <w:rsid w:val="00C464F6"/>
    <w:rsid w:val="00C76BB0"/>
    <w:rsid w:val="00CD2186"/>
    <w:rsid w:val="00D45864"/>
    <w:rsid w:val="00D53AD9"/>
    <w:rsid w:val="00D80939"/>
    <w:rsid w:val="00DC1F47"/>
    <w:rsid w:val="00E013AA"/>
    <w:rsid w:val="00E50668"/>
    <w:rsid w:val="00E848C4"/>
    <w:rsid w:val="00E84B4D"/>
    <w:rsid w:val="00E84C89"/>
    <w:rsid w:val="00E87B6C"/>
    <w:rsid w:val="00E94D46"/>
    <w:rsid w:val="00EE0189"/>
    <w:rsid w:val="00F54FBC"/>
    <w:rsid w:val="00FC0924"/>
    <w:rsid w:val="00FD11B2"/>
    <w:rsid w:val="01944B8B"/>
    <w:rsid w:val="02652DC4"/>
    <w:rsid w:val="05662FEA"/>
    <w:rsid w:val="05A61673"/>
    <w:rsid w:val="0D082369"/>
    <w:rsid w:val="0F5340F4"/>
    <w:rsid w:val="138D5A88"/>
    <w:rsid w:val="14B431CA"/>
    <w:rsid w:val="163915C9"/>
    <w:rsid w:val="172437F2"/>
    <w:rsid w:val="19176B90"/>
    <w:rsid w:val="1FC42DEC"/>
    <w:rsid w:val="20205216"/>
    <w:rsid w:val="269E1466"/>
    <w:rsid w:val="26A760C4"/>
    <w:rsid w:val="2AA504C7"/>
    <w:rsid w:val="2E0D42C7"/>
    <w:rsid w:val="364B0CC0"/>
    <w:rsid w:val="388C6BD6"/>
    <w:rsid w:val="389A0C3E"/>
    <w:rsid w:val="3A1B168F"/>
    <w:rsid w:val="3ACA196A"/>
    <w:rsid w:val="3B875745"/>
    <w:rsid w:val="3D57432A"/>
    <w:rsid w:val="3E1D5DEB"/>
    <w:rsid w:val="3F9266B0"/>
    <w:rsid w:val="45B7656D"/>
    <w:rsid w:val="490D2175"/>
    <w:rsid w:val="494B78EC"/>
    <w:rsid w:val="4B5A1072"/>
    <w:rsid w:val="4E383078"/>
    <w:rsid w:val="4F166405"/>
    <w:rsid w:val="4F433726"/>
    <w:rsid w:val="52EE26E3"/>
    <w:rsid w:val="5361311A"/>
    <w:rsid w:val="54896398"/>
    <w:rsid w:val="571F1A8D"/>
    <w:rsid w:val="582C3A1E"/>
    <w:rsid w:val="5B504870"/>
    <w:rsid w:val="5DCE3EDB"/>
    <w:rsid w:val="5F4E0C41"/>
    <w:rsid w:val="60024CBE"/>
    <w:rsid w:val="6220584E"/>
    <w:rsid w:val="6497292F"/>
    <w:rsid w:val="684B75C5"/>
    <w:rsid w:val="6A096FDD"/>
    <w:rsid w:val="6AB31507"/>
    <w:rsid w:val="6AB62017"/>
    <w:rsid w:val="6B4B092D"/>
    <w:rsid w:val="6C72708C"/>
    <w:rsid w:val="6CDF6BC5"/>
    <w:rsid w:val="6D3B7ACC"/>
    <w:rsid w:val="6D9B6DF4"/>
    <w:rsid w:val="70717966"/>
    <w:rsid w:val="70C72063"/>
    <w:rsid w:val="753937D3"/>
    <w:rsid w:val="7A683150"/>
    <w:rsid w:val="7EE220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0" w:semiHidden="0"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4"/>
    <w:link w:val="14"/>
    <w:qFormat/>
    <w:uiPriority w:val="0"/>
    <w:pPr>
      <w:keepLines/>
      <w:pageBreakBefore/>
      <w:numPr>
        <w:ilvl w:val="0"/>
        <w:numId w:val="1"/>
      </w:numPr>
      <w:autoSpaceDE w:val="0"/>
      <w:autoSpaceDN w:val="0"/>
      <w:adjustRightInd w:val="0"/>
      <w:spacing w:beforeLines="50" w:line="360" w:lineRule="auto"/>
      <w:ind w:left="1134"/>
      <w:jc w:val="center"/>
      <w:outlineLvl w:val="0"/>
    </w:pPr>
    <w:rPr>
      <w:rFonts w:eastAsia="黑体"/>
      <w:spacing w:val="20"/>
      <w:kern w:val="44"/>
      <w:sz w:val="32"/>
      <w:szCs w:val="20"/>
    </w:rPr>
  </w:style>
  <w:style w:type="paragraph" w:styleId="4">
    <w:name w:val="heading 2"/>
    <w:basedOn w:val="1"/>
    <w:next w:val="1"/>
    <w:link w:val="15"/>
    <w:unhideWhenUsed/>
    <w:qFormat/>
    <w:uiPriority w:val="0"/>
    <w:pPr>
      <w:keepNext/>
      <w:keepLines/>
      <w:numPr>
        <w:ilvl w:val="1"/>
        <w:numId w:val="1"/>
      </w:numPr>
      <w:spacing w:before="260" w:after="260" w:line="415" w:lineRule="auto"/>
      <w:outlineLvl w:val="1"/>
    </w:pPr>
    <w:rPr>
      <w:rFonts w:ascii="Arial" w:hAnsi="Arial" w:eastAsia="黑体"/>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macro"/>
    <w:link w:val="17"/>
    <w:unhideWhenUsed/>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5">
    <w:name w:val="caption"/>
    <w:basedOn w:val="1"/>
    <w:next w:val="1"/>
    <w:unhideWhenUsed/>
    <w:qFormat/>
    <w:uiPriority w:val="35"/>
    <w:rPr>
      <w:rFonts w:ascii="Cambria" w:hAnsi="Cambria" w:eastAsia="黑体"/>
      <w:sz w:val="20"/>
      <w:szCs w:val="20"/>
    </w:rPr>
  </w:style>
  <w:style w:type="paragraph" w:styleId="6">
    <w:name w:val="Body Text"/>
    <w:basedOn w:val="1"/>
    <w:link w:val="16"/>
    <w:unhideWhenUsed/>
    <w:qFormat/>
    <w:uiPriority w:val="0"/>
    <w:pPr>
      <w:spacing w:after="120"/>
    </w:pPr>
  </w:style>
  <w:style w:type="paragraph" w:styleId="7">
    <w:name w:val="Date"/>
    <w:basedOn w:val="1"/>
    <w:next w:val="1"/>
    <w:link w:val="21"/>
    <w:unhideWhenUsed/>
    <w:qFormat/>
    <w:uiPriority w:val="99"/>
    <w:pPr>
      <w:ind w:left="100" w:leftChars="2500"/>
    </w:pPr>
  </w:style>
  <w:style w:type="paragraph" w:styleId="8">
    <w:name w:val="Balloon Text"/>
    <w:basedOn w:val="1"/>
    <w:link w:val="18"/>
    <w:unhideWhenUsed/>
    <w:qFormat/>
    <w:uiPriority w:val="99"/>
    <w:rPr>
      <w:sz w:val="18"/>
      <w:szCs w:val="18"/>
    </w:rPr>
  </w:style>
  <w:style w:type="paragraph" w:styleId="9">
    <w:name w:val="footer"/>
    <w:basedOn w:val="1"/>
    <w:link w:val="20"/>
    <w:unhideWhenUsed/>
    <w:qFormat/>
    <w:uiPriority w:val="99"/>
    <w:pPr>
      <w:tabs>
        <w:tab w:val="center" w:pos="4153"/>
        <w:tab w:val="right" w:pos="8306"/>
      </w:tabs>
      <w:snapToGrid w:val="0"/>
      <w:jc w:val="left"/>
    </w:pPr>
    <w:rPr>
      <w:sz w:val="18"/>
      <w:szCs w:val="18"/>
    </w:rPr>
  </w:style>
  <w:style w:type="paragraph" w:styleId="10">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character" w:styleId="13">
    <w:name w:val="Hyperlink"/>
    <w:basedOn w:val="12"/>
    <w:unhideWhenUsed/>
    <w:qFormat/>
    <w:uiPriority w:val="99"/>
    <w:rPr>
      <w:color w:val="0000FF" w:themeColor="hyperlink"/>
      <w:u w:val="single"/>
    </w:rPr>
  </w:style>
  <w:style w:type="character" w:customStyle="1" w:styleId="14">
    <w:name w:val="标题 1 Char"/>
    <w:basedOn w:val="12"/>
    <w:link w:val="3"/>
    <w:qFormat/>
    <w:uiPriority w:val="0"/>
    <w:rPr>
      <w:rFonts w:ascii="Times New Roman" w:hAnsi="Times New Roman" w:eastAsia="黑体" w:cs="Times New Roman"/>
      <w:spacing w:val="20"/>
      <w:kern w:val="44"/>
      <w:sz w:val="32"/>
      <w:szCs w:val="20"/>
    </w:rPr>
  </w:style>
  <w:style w:type="character" w:customStyle="1" w:styleId="15">
    <w:name w:val="标题 2 Char"/>
    <w:basedOn w:val="12"/>
    <w:link w:val="4"/>
    <w:qFormat/>
    <w:uiPriority w:val="0"/>
    <w:rPr>
      <w:rFonts w:ascii="Arial" w:hAnsi="Arial" w:eastAsia="黑体" w:cs="Times New Roman"/>
      <w:b/>
      <w:bCs/>
      <w:sz w:val="32"/>
      <w:szCs w:val="32"/>
    </w:rPr>
  </w:style>
  <w:style w:type="character" w:customStyle="1" w:styleId="16">
    <w:name w:val="正文文本 Char"/>
    <w:basedOn w:val="12"/>
    <w:link w:val="6"/>
    <w:qFormat/>
    <w:uiPriority w:val="0"/>
    <w:rPr>
      <w:rFonts w:ascii="Times New Roman" w:hAnsi="Times New Roman" w:eastAsia="宋体" w:cs="Times New Roman"/>
      <w:szCs w:val="24"/>
    </w:rPr>
  </w:style>
  <w:style w:type="character" w:customStyle="1" w:styleId="17">
    <w:name w:val="宏文本 Char"/>
    <w:basedOn w:val="12"/>
    <w:link w:val="2"/>
    <w:semiHidden/>
    <w:qFormat/>
    <w:uiPriority w:val="0"/>
    <w:rPr>
      <w:rFonts w:ascii="Courier New" w:hAnsi="Courier New" w:eastAsia="宋体" w:cs="Courier New"/>
      <w:sz w:val="24"/>
      <w:szCs w:val="24"/>
    </w:rPr>
  </w:style>
  <w:style w:type="character" w:customStyle="1" w:styleId="18">
    <w:name w:val="批注框文本 Char"/>
    <w:basedOn w:val="12"/>
    <w:link w:val="8"/>
    <w:semiHidden/>
    <w:qFormat/>
    <w:uiPriority w:val="99"/>
    <w:rPr>
      <w:rFonts w:ascii="Times New Roman" w:hAnsi="Times New Roman" w:eastAsia="宋体" w:cs="Times New Roman"/>
      <w:sz w:val="18"/>
      <w:szCs w:val="18"/>
    </w:rPr>
  </w:style>
  <w:style w:type="character" w:customStyle="1" w:styleId="19">
    <w:name w:val="页眉 Char"/>
    <w:basedOn w:val="12"/>
    <w:link w:val="10"/>
    <w:semiHidden/>
    <w:qFormat/>
    <w:uiPriority w:val="99"/>
    <w:rPr>
      <w:rFonts w:ascii="Times New Roman" w:hAnsi="Times New Roman" w:eastAsia="宋体" w:cs="Times New Roman"/>
      <w:sz w:val="18"/>
      <w:szCs w:val="18"/>
    </w:rPr>
  </w:style>
  <w:style w:type="character" w:customStyle="1" w:styleId="20">
    <w:name w:val="页脚 Char"/>
    <w:basedOn w:val="12"/>
    <w:link w:val="9"/>
    <w:semiHidden/>
    <w:qFormat/>
    <w:uiPriority w:val="99"/>
    <w:rPr>
      <w:rFonts w:ascii="Times New Roman" w:hAnsi="Times New Roman" w:eastAsia="宋体" w:cs="Times New Roman"/>
      <w:sz w:val="18"/>
      <w:szCs w:val="18"/>
    </w:rPr>
  </w:style>
  <w:style w:type="character" w:customStyle="1" w:styleId="21">
    <w:name w:val="日期 Char"/>
    <w:basedOn w:val="12"/>
    <w:link w:val="7"/>
    <w:semiHidden/>
    <w:qFormat/>
    <w:uiPriority w:val="99"/>
    <w:rPr>
      <w:rFonts w:ascii="Times New Roman" w:hAnsi="Times New Roman" w:eastAsia="宋体" w:cs="Times New Roman"/>
      <w:szCs w:val="24"/>
    </w:rPr>
  </w:style>
  <w:style w:type="paragraph" w:customStyle="1" w:styleId="22">
    <w:name w:val="正文文本 21"/>
    <w:basedOn w:val="1"/>
    <w:qFormat/>
    <w:uiPriority w:val="0"/>
    <w:pPr>
      <w:tabs>
        <w:tab w:val="left" w:pos="567"/>
      </w:tabs>
      <w:adjustRightInd w:val="0"/>
      <w:spacing w:line="410" w:lineRule="atLeast"/>
      <w:ind w:firstLine="480"/>
      <w:textAlignment w:val="baseline"/>
    </w:pPr>
    <w:rPr>
      <w:rFonts w:ascii="宋体"/>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1245</Words>
  <Characters>7098</Characters>
  <Lines>59</Lines>
  <Paragraphs>16</Paragraphs>
  <TotalTime>2</TotalTime>
  <ScaleCrop>false</ScaleCrop>
  <LinksUpToDate>false</LinksUpToDate>
  <CharactersWithSpaces>8327</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2019-04-10T07:21:00Z</dcterms:created>
  <dc:creator>Admin</dc:creator>
  <cp:lastModifiedBy>Administrator</cp:lastModifiedBy>
  <dcterms:modified xsi:type="dcterms:W3CDTF">2020-04-28T09:44:45Z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