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  <w:t>薛城区民政局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bookmarkEnd w:id="0"/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3"/>
        <w:widowControl/>
        <w:shd w:val="clear" w:color="auto" w:fill="FFFFFF"/>
        <w:spacing w:beforeAutospacing="0" w:afterAutospacing="0"/>
        <w:ind w:firstLine="64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年，区民政局以各种方式主动公开并及时更新各类信息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290余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条，一是依托区政府网站主动公开各类信息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条；二是以机关固定宣传专栏、一楼大厅LED显示屏、简报、信息等多种形式在一定范围内公开相关政策和法律法规、工作动态等信息1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0余条。三是注重利用新闻媒体宣传工作开展情况、向社会公众公开相关信息，在《大众日报》、《枣庄日报》和《薛城周迅》刊载本单位稿件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篇。</w:t>
      </w:r>
    </w:p>
    <w:p>
      <w:pPr>
        <w:pStyle w:val="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-9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+17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+2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24000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3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我局信息公开工作虽然取得了一定的成绩，得到了有关部门和办事群众的一致好评，但仍存在一些不足，主要体现在主动公开工作力度还需进一步增强，对政府信息公开工作的组织、落实制度等还有待进一步完善等。我们重点在以下方面加强工作，提高政府信息公开水平：一是进一步提升思想认识，努力规范政府信息公开工作流程。按照“公开为原则，不公开为例外”的总体要求，及时提供，定期维护，确保政府信息公开工作能按照既定的工作流程规范有效运作，方便公众查询。二是进一步整理梳理政府信息，逐步扩大公开内容。我局将进一步梳理相关信息，不断对原有的政府信息公开目录进行补充完善，努力确保公开信息的完整性、准确性和及时性。</w:t>
      </w: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snapToGrid w:val="0"/>
        <w:spacing w:beforeAutospacing="0" w:afterAutospacing="0" w:line="390" w:lineRule="atLeast"/>
        <w:ind w:firstLine="640" w:firstLineChars="200"/>
        <w:jc w:val="both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0D5A"/>
    <w:rsid w:val="03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2020-02-18T07:20:00Z</dcterms:created>
  <dc:creator>明天更美好</dc:creator>
  <cp:lastModifiedBy>明天更美好</cp:lastModifiedBy>
  <dcterms:modified xsi:type="dcterms:W3CDTF">2020-02-18T07:51:06Z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