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薛城</w:t>
      </w:r>
      <w:r>
        <w:rPr>
          <w:rFonts w:hint="eastAsia" w:ascii="方正小标宋简体" w:hAnsi="宋体" w:eastAsia="方正小标宋简体" w:cs="宋体"/>
          <w:color w:val="000000"/>
          <w:kern w:val="0"/>
          <w:sz w:val="44"/>
          <w:szCs w:val="44"/>
        </w:rPr>
        <w:t>区工信局</w:t>
      </w:r>
      <w:r>
        <w:rPr>
          <w:rFonts w:hint="eastAsia" w:ascii="方正小标宋简体" w:hAnsi="宋体" w:eastAsia="方正小标宋简体" w:cs="宋体"/>
          <w:color w:val="000000"/>
          <w:kern w:val="0"/>
          <w:sz w:val="44"/>
          <w:szCs w:val="44"/>
          <w:lang w:val="en-US" w:eastAsia="zh-CN"/>
        </w:rPr>
        <w:t>2020年</w:t>
      </w:r>
      <w:r>
        <w:rPr>
          <w:rFonts w:hint="eastAsia" w:ascii="方正小标宋简体" w:hAnsi="宋体" w:eastAsia="方正小标宋简体" w:cs="宋体"/>
          <w:color w:val="000000"/>
          <w:kern w:val="0"/>
          <w:sz w:val="44"/>
          <w:szCs w:val="44"/>
        </w:rPr>
        <w:t>政府信息公开工作</w:t>
      </w:r>
    </w:p>
    <w:p>
      <w:pPr>
        <w:widowControl/>
        <w:jc w:val="center"/>
        <w:rPr>
          <w:rFonts w:hint="eastAsia" w:ascii="黑体" w:hAnsi="黑体" w:eastAsia="黑体" w:cs="宋体"/>
          <w:color w:val="000000"/>
          <w:kern w:val="0"/>
          <w:sz w:val="32"/>
          <w:szCs w:val="32"/>
        </w:rPr>
      </w:pPr>
      <w:r>
        <w:rPr>
          <w:rFonts w:hint="eastAsia" w:ascii="方正小标宋简体" w:hAnsi="宋体" w:eastAsia="方正小标宋简体" w:cs="宋体"/>
          <w:color w:val="000000"/>
          <w:kern w:val="0"/>
          <w:sz w:val="44"/>
          <w:szCs w:val="44"/>
        </w:rPr>
        <w:t>年度报告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8" w:firstLineChars="200"/>
        <w:textAlignment w:val="auto"/>
        <w:rPr>
          <w:rFonts w:hint="default" w:ascii="Times New Roman" w:hAnsi="Times New Roman" w:eastAsia="仿宋_GB2312" w:cs="Times New Roman"/>
          <w:spacing w:val="-3"/>
          <w:kern w:val="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3"/>
          <w:kern w:val="0"/>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w:t>
      </w:r>
      <w:r>
        <w:rPr>
          <w:rFonts w:hint="default" w:ascii="Times New Roman" w:hAnsi="Times New Roman" w:eastAsia="仿宋_GB2312" w:cs="Times New Roman"/>
          <w:spacing w:val="-3"/>
          <w:kern w:val="0"/>
          <w:sz w:val="32"/>
          <w:szCs w:val="32"/>
          <w:lang w:eastAsia="zh-CN"/>
        </w:rPr>
        <w:t>，</w:t>
      </w:r>
      <w:r>
        <w:rPr>
          <w:rFonts w:hint="default" w:ascii="Times New Roman" w:hAnsi="Times New Roman" w:eastAsia="仿宋_GB2312" w:cs="Times New Roman"/>
          <w:spacing w:val="-3"/>
          <w:kern w:val="0"/>
          <w:sz w:val="32"/>
          <w:szCs w:val="32"/>
        </w:rPr>
        <w:t>向社会公布薛城区人民政府</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年度政府信息公开年度报告</w:t>
      </w:r>
      <w:r>
        <w:rPr>
          <w:rFonts w:hint="default" w:ascii="Times New Roman" w:hAnsi="Times New Roman" w:eastAsia="仿宋_GB2312" w:cs="Times New Roman"/>
          <w:spacing w:val="-3"/>
          <w:kern w:val="0"/>
          <w:sz w:val="32"/>
          <w:szCs w:val="32"/>
          <w:lang w:eastAsia="zh-CN"/>
        </w:rPr>
        <w:t>。本报告包括总体情况、主动公开政府信息情况、收到和处理政府信息公开申请情况、政府信息公开行政复议和行政诉讼情况、存在的主要问题及改进情况、其他需要报告的事项等六个部分。</w:t>
      </w:r>
      <w:r>
        <w:rPr>
          <w:rFonts w:hint="default" w:ascii="Times New Roman" w:hAnsi="Times New Roman" w:eastAsia="仿宋_GB2312" w:cs="Times New Roman"/>
          <w:spacing w:val="-3"/>
          <w:kern w:val="0"/>
          <w:sz w:val="32"/>
          <w:szCs w:val="32"/>
        </w:rPr>
        <w:t>本年度报告中所列数据的统计期限自</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年1月1日起至</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年12月31日止。本年度报告的电子版可以在“薛城区政府门户网站”（http://xxgk.xuecheng.gov.cn/xxgknb/2020xxgknb/bmjzjxxgknb_1/202101/t20210122_1150200.html)下载。如对本报告有疑问，可与</w:t>
      </w:r>
      <w:r>
        <w:rPr>
          <w:rFonts w:hint="default" w:ascii="Times New Roman" w:hAnsi="Times New Roman" w:eastAsia="仿宋_GB2312" w:cs="Times New Roman"/>
          <w:spacing w:val="-3"/>
          <w:kern w:val="0"/>
          <w:sz w:val="32"/>
          <w:szCs w:val="32"/>
          <w:lang w:eastAsia="zh-CN"/>
        </w:rPr>
        <w:t>薛城区</w:t>
      </w:r>
      <w:r>
        <w:rPr>
          <w:rFonts w:hint="eastAsia" w:ascii="Times New Roman" w:hAnsi="Times New Roman" w:eastAsia="仿宋_GB2312" w:cs="Times New Roman"/>
          <w:spacing w:val="-3"/>
          <w:kern w:val="0"/>
          <w:sz w:val="32"/>
          <w:szCs w:val="32"/>
          <w:lang w:eastAsia="zh-CN"/>
        </w:rPr>
        <w:t>工业和信息化局</w:t>
      </w:r>
      <w:r>
        <w:rPr>
          <w:rFonts w:hint="default" w:ascii="Times New Roman" w:hAnsi="Times New Roman" w:eastAsia="仿宋_GB2312" w:cs="Times New Roman"/>
          <w:spacing w:val="-3"/>
          <w:kern w:val="0"/>
          <w:sz w:val="32"/>
          <w:szCs w:val="32"/>
          <w:lang w:eastAsia="zh-CN"/>
        </w:rPr>
        <w:t>政务公开办公室联系</w:t>
      </w:r>
      <w:r>
        <w:rPr>
          <w:rFonts w:hint="default" w:ascii="Times New Roman" w:hAnsi="Times New Roman" w:eastAsia="仿宋_GB2312" w:cs="Times New Roman"/>
          <w:spacing w:val="-3"/>
          <w:kern w:val="0"/>
          <w:sz w:val="32"/>
          <w:szCs w:val="32"/>
        </w:rPr>
        <w:t>(地址:薛城区仲建商务广场12楼</w:t>
      </w:r>
      <w:r>
        <w:rPr>
          <w:rFonts w:hint="default" w:ascii="Times New Roman" w:hAnsi="Times New Roman" w:eastAsia="仿宋_GB2312" w:cs="Times New Roman"/>
          <w:spacing w:val="-3"/>
          <w:kern w:val="0"/>
          <w:sz w:val="32"/>
          <w:szCs w:val="32"/>
          <w:lang w:val="en-US" w:eastAsia="zh-CN"/>
        </w:rPr>
        <w:t>，</w:t>
      </w:r>
      <w:r>
        <w:rPr>
          <w:rFonts w:hint="default" w:ascii="Times New Roman" w:hAnsi="Times New Roman" w:eastAsia="仿宋_GB2312" w:cs="Times New Roman"/>
          <w:spacing w:val="-3"/>
          <w:kern w:val="0"/>
          <w:sz w:val="32"/>
          <w:szCs w:val="32"/>
        </w:rPr>
        <w:t>邮编：</w:t>
      </w:r>
      <w:r>
        <w:rPr>
          <w:rFonts w:hint="default" w:ascii="Times New Roman" w:hAnsi="Times New Roman" w:eastAsia="仿宋_GB2312" w:cs="Times New Roman"/>
          <w:spacing w:val="-3"/>
          <w:kern w:val="0"/>
          <w:sz w:val="32"/>
          <w:szCs w:val="32"/>
          <w:lang w:val="en-US" w:eastAsia="zh-CN"/>
        </w:rPr>
        <w:t xml:space="preserve">277000 </w:t>
      </w:r>
      <w:r>
        <w:rPr>
          <w:rFonts w:hint="default" w:ascii="Times New Roman" w:hAnsi="Times New Roman" w:eastAsia="仿宋_GB2312" w:cs="Times New Roman"/>
          <w:spacing w:val="-3"/>
          <w:kern w:val="0"/>
          <w:sz w:val="32"/>
          <w:szCs w:val="32"/>
        </w:rPr>
        <w:t>，电话：</w:t>
      </w:r>
      <w:r>
        <w:rPr>
          <w:rFonts w:hint="default" w:ascii="Times New Roman" w:hAnsi="Times New Roman" w:eastAsia="仿宋_GB2312" w:cs="Times New Roman"/>
          <w:spacing w:val="-3"/>
          <w:kern w:val="0"/>
          <w:sz w:val="32"/>
          <w:szCs w:val="32"/>
          <w:lang w:val="en-US" w:eastAsia="zh-CN"/>
        </w:rPr>
        <w:t>0632—4</w:t>
      </w:r>
      <w:r>
        <w:rPr>
          <w:rFonts w:hint="eastAsia" w:ascii="Times New Roman" w:hAnsi="Times New Roman" w:eastAsia="仿宋_GB2312" w:cs="Times New Roman"/>
          <w:spacing w:val="-3"/>
          <w:kern w:val="0"/>
          <w:sz w:val="32"/>
          <w:szCs w:val="32"/>
          <w:lang w:val="en-US" w:eastAsia="zh-CN"/>
        </w:rPr>
        <w:t>412540</w:t>
      </w:r>
      <w:r>
        <w:rPr>
          <w:rFonts w:hint="default" w:ascii="Times New Roman" w:hAnsi="Times New Roman" w:eastAsia="仿宋_GB2312" w:cs="Times New Roman"/>
          <w:spacing w:val="-3"/>
          <w:kern w:val="0"/>
          <w:sz w:val="32"/>
          <w:szCs w:val="32"/>
        </w:rPr>
        <w:t>，电子邮箱：</w:t>
      </w:r>
      <w:r>
        <w:rPr>
          <w:rFonts w:hint="eastAsia" w:ascii="Times New Roman" w:hAnsi="Times New Roman" w:eastAsia="仿宋_GB2312" w:cs="Times New Roman"/>
          <w:spacing w:val="-3"/>
          <w:kern w:val="0"/>
          <w:sz w:val="32"/>
          <w:szCs w:val="32"/>
          <w:lang w:val="en-US" w:eastAsia="zh-CN"/>
        </w:rPr>
        <w:t>xcgxjzzb</w:t>
      </w:r>
      <w:r>
        <w:rPr>
          <w:rFonts w:hint="default" w:ascii="Times New Roman" w:hAnsi="Times New Roman" w:eastAsia="仿宋_GB2312" w:cs="Times New Roman"/>
          <w:spacing w:val="-3"/>
          <w:kern w:val="0"/>
          <w:sz w:val="32"/>
          <w:szCs w:val="32"/>
        </w:rPr>
        <w:t>@zz.shandong.cn</w:t>
      </w:r>
      <w:r>
        <w:rPr>
          <w:rFonts w:hint="default" w:ascii="Times New Roman" w:hAnsi="Times New Roman" w:eastAsia="仿宋_GB2312" w:cs="Times New Roman"/>
          <w:spacing w:val="-3"/>
          <w:kern w:val="0"/>
          <w:sz w:val="32"/>
          <w:szCs w:val="32"/>
          <w:lang w:val="en-US" w:eastAsia="zh-CN"/>
        </w:rPr>
        <w:t xml:space="preserve"> </w:t>
      </w:r>
      <w:r>
        <w:rPr>
          <w:rFonts w:hint="default" w:ascii="Times New Roman" w:hAnsi="Times New Roman" w:eastAsia="仿宋_GB2312" w:cs="Times New Roman"/>
          <w:spacing w:val="-3"/>
          <w:kern w:val="0"/>
          <w:sz w:val="32"/>
          <w:szCs w:val="32"/>
        </w:rPr>
        <w:t>)。</w:t>
      </w:r>
    </w:p>
    <w:p>
      <w:pPr>
        <w:pStyle w:val="2"/>
        <w:keepNext w:val="0"/>
        <w:keepLines w:val="0"/>
        <w:pageBreakBefore w:val="0"/>
        <w:numPr>
          <w:ilvl w:val="0"/>
          <w:numId w:val="1"/>
        </w:numPr>
        <w:kinsoku/>
        <w:wordWrap/>
        <w:overflowPunct/>
        <w:topLinePunct w:val="0"/>
        <w:autoSpaceDE/>
        <w:autoSpaceDN/>
        <w:bidi w:val="0"/>
        <w:spacing w:line="600" w:lineRule="exact"/>
        <w:ind w:left="-10" w:leftChars="0" w:firstLine="64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整体情况</w:t>
      </w:r>
    </w:p>
    <w:p>
      <w:pPr>
        <w:widowControl/>
        <w:ind w:firstLine="630" w:firstLineChars="200"/>
        <w:jc w:val="left"/>
        <w:rPr>
          <w:rFonts w:hint="eastAsia" w:ascii="Times New Roman" w:hAnsi="Times New Roman" w:eastAsia="仿宋_GB2312" w:cs="Times New Roman"/>
          <w:spacing w:val="-3"/>
          <w:kern w:val="0"/>
          <w:sz w:val="32"/>
          <w:szCs w:val="32"/>
          <w:lang w:val="en-US" w:eastAsia="zh-CN" w:bidi="ar-SA"/>
        </w:rPr>
      </w:pPr>
      <w:r>
        <w:rPr>
          <w:rFonts w:ascii="仿宋_GB2312" w:hAnsi="宋体" w:eastAsia="仿宋_GB2312" w:cs="仿宋_GB2312"/>
          <w:i w:val="0"/>
          <w:iCs w:val="0"/>
          <w:caps w:val="0"/>
          <w:color w:val="000000"/>
          <w:spacing w:val="0"/>
          <w:sz w:val="31"/>
          <w:szCs w:val="31"/>
          <w:shd w:val="clear" w:fill="FFFFFF"/>
        </w:rPr>
        <w:t>2020年，区工信局认真贯彻上级对政府信息公开工作的重要部署，严格落实《中华人民共和国政府信息公开条例》、《山东省政府信息公开办法》各项要求，围绕工信中心工作，</w:t>
      </w:r>
      <w:r>
        <w:rPr>
          <w:rFonts w:hint="eastAsia" w:ascii="仿宋_GB2312" w:hAnsi="宋体" w:eastAsia="仿宋_GB2312" w:cs="仿宋_GB2312"/>
          <w:i w:val="0"/>
          <w:iCs w:val="0"/>
          <w:caps w:val="0"/>
          <w:color w:val="000000"/>
          <w:spacing w:val="0"/>
          <w:sz w:val="31"/>
          <w:szCs w:val="31"/>
          <w:shd w:val="clear" w:fill="FFFFFF"/>
        </w:rPr>
        <w:t>完善规范工作机制。进一步明确政府信息公开的内容、方式、程序等具体要求，切实抓好工作落实。根据信息公开保密有关要求，对信息审查制度做了进一步规范，确保政府信息公开不出现失泄密事件。</w:t>
      </w:r>
      <w:r>
        <w:rPr>
          <w:rFonts w:ascii="仿宋_GB2312" w:hAnsi="宋体" w:eastAsia="仿宋_GB2312" w:cs="仿宋_GB2312"/>
          <w:i w:val="0"/>
          <w:iCs w:val="0"/>
          <w:caps w:val="0"/>
          <w:color w:val="000000"/>
          <w:spacing w:val="0"/>
          <w:sz w:val="31"/>
          <w:szCs w:val="31"/>
          <w:shd w:val="clear" w:fill="FFFFFF"/>
        </w:rPr>
        <w:t>认真落实政府信息公开工作要点，稳步拓展公开内容，灵活信息公开方式，紧紧围绕区委区政府决策部署，认真回应公众关切，加强政府信息公开发布、增强政策解读回应时效，扩大公众参与。</w:t>
      </w:r>
      <w:bookmarkStart w:id="0" w:name="_GoBack"/>
      <w:bookmarkEnd w:id="0"/>
    </w:p>
    <w:p>
      <w:pPr>
        <w:widowControl/>
        <w:ind w:firstLine="320" w:firstLineChars="1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5"/>
        <w:tblW w:w="8700" w:type="dxa"/>
        <w:jc w:val="center"/>
        <w:tblLayout w:type="autofit"/>
        <w:tblCellMar>
          <w:top w:w="0" w:type="dxa"/>
          <w:left w:w="0" w:type="dxa"/>
          <w:bottom w:w="0" w:type="dxa"/>
          <w:right w:w="0" w:type="dxa"/>
        </w:tblCellMar>
      </w:tblPr>
      <w:tblGrid>
        <w:gridCol w:w="3327"/>
        <w:gridCol w:w="2003"/>
        <w:gridCol w:w="7"/>
        <w:gridCol w:w="1351"/>
        <w:gridCol w:w="2012"/>
      </w:tblGrid>
      <w:tr>
        <w:tblPrEx>
          <w:tblCellMar>
            <w:top w:w="0" w:type="dxa"/>
            <w:left w:w="0" w:type="dxa"/>
            <w:bottom w:w="0" w:type="dxa"/>
            <w:right w:w="0" w:type="dxa"/>
          </w:tblCellMar>
        </w:tblPrEx>
        <w:trPr>
          <w:trHeight w:val="518" w:hRule="atLeast"/>
          <w:jc w:val="center"/>
        </w:trPr>
        <w:tc>
          <w:tcPr>
            <w:tcW w:w="870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908"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00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35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47"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00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35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94"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00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35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03" w:hRule="atLeast"/>
          <w:jc w:val="center"/>
        </w:trPr>
        <w:tc>
          <w:tcPr>
            <w:tcW w:w="87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59"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00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35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52"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0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3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74"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0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3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29" w:hRule="atLeast"/>
          <w:jc w:val="center"/>
        </w:trPr>
        <w:tc>
          <w:tcPr>
            <w:tcW w:w="87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59"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00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35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53"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0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3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32"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0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3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0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97" w:hRule="atLeast"/>
          <w:jc w:val="center"/>
        </w:trPr>
        <w:tc>
          <w:tcPr>
            <w:tcW w:w="87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34"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0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363"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75"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0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3363"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99" w:hRule="atLeast"/>
          <w:jc w:val="center"/>
        </w:trPr>
        <w:tc>
          <w:tcPr>
            <w:tcW w:w="87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609"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0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363"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3" w:hRule="atLeast"/>
          <w:jc w:val="center"/>
        </w:trPr>
        <w:tc>
          <w:tcPr>
            <w:tcW w:w="33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20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3363"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ascii="宋体" w:hAnsi="宋体" w:eastAsia="宋体" w:cs="宋体"/>
          <w:color w:val="000000"/>
          <w:kern w:val="0"/>
          <w:sz w:val="20"/>
          <w:szCs w:val="20"/>
        </w:rPr>
      </w:pPr>
    </w:p>
    <w:p>
      <w:pPr>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bl>
    <w:p>
      <w:pPr>
        <w:widowControl/>
        <w:jc w:val="left"/>
        <w:rPr>
          <w:rFonts w:ascii="宋体" w:hAnsi="宋体" w:eastAsia="宋体" w:cs="宋体"/>
          <w:color w:val="000000"/>
          <w:kern w:val="0"/>
          <w:sz w:val="20"/>
          <w:szCs w:val="20"/>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widowControl/>
        <w:jc w:val="left"/>
        <w:rPr>
          <w:rFonts w:ascii="宋体" w:hAnsi="宋体" w:eastAsia="宋体" w:cs="宋体"/>
          <w:color w:val="000000"/>
          <w:kern w:val="0"/>
          <w:sz w:val="20"/>
          <w:szCs w:val="20"/>
        </w:rPr>
      </w:pPr>
    </w:p>
    <w:tbl>
      <w:tblPr>
        <w:tblStyle w:val="5"/>
        <w:tblW w:w="9119" w:type="dxa"/>
        <w:jc w:val="center"/>
        <w:tblLayout w:type="autofit"/>
        <w:tblCellMar>
          <w:top w:w="0" w:type="dxa"/>
          <w:left w:w="0" w:type="dxa"/>
          <w:bottom w:w="0" w:type="dxa"/>
          <w:right w:w="0" w:type="dxa"/>
        </w:tblCellMar>
      </w:tblPr>
      <w:tblGrid>
        <w:gridCol w:w="607"/>
        <w:gridCol w:w="607"/>
        <w:gridCol w:w="607"/>
        <w:gridCol w:w="607"/>
        <w:gridCol w:w="662"/>
        <w:gridCol w:w="552"/>
        <w:gridCol w:w="608"/>
        <w:gridCol w:w="608"/>
        <w:gridCol w:w="608"/>
        <w:gridCol w:w="610"/>
        <w:gridCol w:w="608"/>
        <w:gridCol w:w="608"/>
        <w:gridCol w:w="608"/>
        <w:gridCol w:w="609"/>
        <w:gridCol w:w="610"/>
      </w:tblGrid>
      <w:tr>
        <w:tblPrEx>
          <w:tblCellMar>
            <w:top w:w="0" w:type="dxa"/>
            <w:left w:w="0" w:type="dxa"/>
            <w:bottom w:w="0" w:type="dxa"/>
            <w:right w:w="0" w:type="dxa"/>
          </w:tblCellMar>
        </w:tblPrEx>
        <w:trPr>
          <w:trHeight w:val="298" w:hRule="atLeast"/>
          <w:jc w:val="center"/>
        </w:trPr>
        <w:tc>
          <w:tcPr>
            <w:tcW w:w="309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029"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298" w:hRule="atLeast"/>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6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8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4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trHeight w:val="113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881"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ascii="宋体" w:hAnsi="宋体" w:eastAsia="宋体" w:cs="宋体"/>
          <w:color w:val="000000"/>
          <w:kern w:val="0"/>
          <w:sz w:val="20"/>
          <w:szCs w:val="20"/>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w:t>
      </w:r>
      <w:r>
        <w:rPr>
          <w:rFonts w:hint="default" w:ascii="Times New Roman" w:hAnsi="Times New Roman" w:eastAsia="黑体" w:cs="Times New Roman"/>
          <w:bCs/>
          <w:sz w:val="32"/>
          <w:szCs w:val="32"/>
        </w:rPr>
        <w:t>政府信息公开工作存在的主要问题及改进情况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区</w:t>
      </w:r>
      <w:r>
        <w:rPr>
          <w:rFonts w:hint="eastAsia" w:ascii="仿宋_GB2312" w:hAnsi="黑体" w:eastAsia="仿宋_GB2312" w:cs="宋体"/>
          <w:color w:val="000000"/>
          <w:kern w:val="0"/>
          <w:sz w:val="32"/>
          <w:szCs w:val="32"/>
          <w:lang w:eastAsia="zh-CN"/>
        </w:rPr>
        <w:t>工业和信息化局</w:t>
      </w:r>
      <w:r>
        <w:rPr>
          <w:rFonts w:hint="eastAsia" w:ascii="仿宋_GB2312" w:hAnsi="黑体" w:eastAsia="仿宋_GB2312" w:cs="宋体"/>
          <w:color w:val="000000"/>
          <w:kern w:val="0"/>
          <w:sz w:val="32"/>
          <w:szCs w:val="32"/>
        </w:rPr>
        <w:t>虽然随着信息公开工作的深入开展建立起了政府信息公开的框架，制定了较为完善的制度，但对政务信息公开工作的重要性、时效性和规范性等方面还存在诸多不足</w:t>
      </w:r>
      <w:r>
        <w:rPr>
          <w:rFonts w:hint="eastAsia" w:ascii="仿宋_GB2312" w:hAnsi="黑体" w:eastAsia="仿宋_GB2312" w:cs="宋体"/>
          <w:color w:val="000000"/>
          <w:kern w:val="0"/>
          <w:sz w:val="32"/>
          <w:szCs w:val="32"/>
          <w:lang w:eastAsia="zh-CN"/>
        </w:rPr>
        <w:t>，</w:t>
      </w:r>
      <w:r>
        <w:rPr>
          <w:rFonts w:hint="eastAsia" w:ascii="仿宋_GB2312" w:hAnsi="黑体" w:eastAsia="仿宋_GB2312" w:cs="宋体"/>
          <w:color w:val="000000"/>
          <w:kern w:val="0"/>
          <w:sz w:val="32"/>
          <w:szCs w:val="32"/>
        </w:rPr>
        <w:t>工作流程还需进一步规范，公开的内容需要进一步深化，部分公开信息与群众要求还有一些差距。</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宋体"/>
          <w:color w:val="000000"/>
          <w:kern w:val="0"/>
          <w:sz w:val="32"/>
          <w:szCs w:val="32"/>
          <w:lang w:eastAsia="zh-CN"/>
        </w:rPr>
      </w:pPr>
      <w:r>
        <w:rPr>
          <w:rFonts w:hint="eastAsia" w:ascii="仿宋_GB2312" w:hAnsi="黑体" w:eastAsia="仿宋_GB2312" w:cs="宋体"/>
          <w:color w:val="000000"/>
          <w:kern w:val="0"/>
          <w:sz w:val="32"/>
          <w:szCs w:val="32"/>
          <w:lang w:eastAsia="zh-CN"/>
        </w:rPr>
        <w:t>下一步要加强日常管理工作，继续强化专人负责信息公开工作，明确工作职责，以服务企业、项目为抓手，进一步加强政府信息公开通过多种渠道进行宣传，以提政府信息信息公开的知晓率和参与度。建设长效机制，按照上级及相关规定要求，进一步规范信息内容审查和更新维护、考核评估、监督检查评议、培训宣传和工作年报等各个环节，确保政府信息公开工作制度化。</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ind w:firstLine="640" w:firstLineChars="200"/>
        <w:jc w:val="left"/>
      </w:pPr>
      <w:r>
        <w:rPr>
          <w:rFonts w:hint="eastAsia" w:ascii="仿宋_GB2312" w:hAnsi="黑体" w:eastAsia="仿宋_GB2312" w:cs="宋体"/>
          <w:color w:val="000000"/>
          <w:kern w:val="0"/>
          <w:sz w:val="32"/>
          <w:szCs w:val="32"/>
          <w:lang w:eastAsia="zh-CN"/>
        </w:rPr>
        <w:t>无</w:t>
      </w:r>
    </w:p>
    <w:p>
      <w:pPr>
        <w:rPr>
          <w:rFonts w:hint="eastAsia" w:eastAsiaTheme="minorEastAsia"/>
          <w:b/>
          <w:bCs/>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00918"/>
    <w:multiLevelType w:val="singleLevel"/>
    <w:tmpl w:val="63E00918"/>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540EC"/>
    <w:rsid w:val="13D540EC"/>
    <w:rsid w:val="392B57AE"/>
    <w:rsid w:val="5107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2021-05-21T06:18:00Z</dcterms:created>
  <dc:creator></dc:creator>
  <cp:lastModifiedBy></cp:lastModifiedBy>
  <dcterms:modified xsi:type="dcterms:W3CDTF">2021-05-24T03:01:38Z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F1B8BCA84AB24A878BF563A23847A642</vt:lpwstr>
  </property>
</Properties>
</file>