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keepNext w:val="0"/>
        <w:keepLines w:val="0"/>
        <w:pageBreakBefore w:val="0"/>
        <w:widowControl w:val="0"/>
        <w:suppressLineNumbers w:val="0"/>
        <w:shd w:val="clear" w:fill="FFFFFF"/>
        <w:kinsoku/>
        <w:wordWrap/>
        <w:overflowPunct/>
        <w:topLinePunct w:val="0"/>
        <w:autoSpaceDE/>
        <w:autoSpaceDN/>
        <w:bidi w:val="0"/>
        <w:adjustRightInd/>
        <w:snapToGrid/>
        <w:spacing w:after="0" w:afterAutospacing="0" w:line="420" w:lineRule="atLeast"/>
        <w:ind w:left="0" w:firstLine="0"/>
        <w:jc w:val="center"/>
        <w:textAlignment w:val="auto"/>
        <w:rPr>
          <w:rFonts w:hint="default" w:ascii="Times New Roman" w:hAnsi="Times New Roman" w:cs="Times New Roman"/>
        </w:rPr>
      </w:pPr>
      <w:r>
        <w:rPr>
          <w:rFonts w:hint="default" w:ascii="Times New Roman" w:hAnsi="Times New Roman" w:eastAsia="华文中宋" w:cs="Times New Roman"/>
          <w:sz w:val="43"/>
          <w:szCs w:val="43"/>
          <w:shd w:val="clear" w:fill="FFFFFF"/>
        </w:rPr>
        <w:t>区卫健局</w:t>
      </w:r>
      <w:r>
        <w:rPr>
          <w:rFonts w:hint="default" w:ascii="Times New Roman" w:hAnsi="Times New Roman" w:cs="Times New Roman"/>
          <w:sz w:val="43"/>
          <w:szCs w:val="43"/>
          <w:shd w:val="clear" w:fill="FFFFFF"/>
        </w:rPr>
        <w:t>2020</w:t>
      </w:r>
      <w:r>
        <w:rPr>
          <w:rFonts w:hint="default" w:ascii="Times New Roman" w:hAnsi="Times New Roman" w:eastAsia="华文中宋" w:cs="Times New Roman"/>
          <w:sz w:val="43"/>
          <w:szCs w:val="43"/>
          <w:shd w:val="clear" w:fill="FFFFFF"/>
        </w:rPr>
        <w:t>年度政府信息公开工作报告</w:t>
      </w:r>
    </w:p>
    <w:p>
      <w:pPr>
        <w:pStyle w:val="6"/>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firstLine="600" w:firstLineChars="200"/>
        <w:jc w:val="both"/>
        <w:textAlignment w:val="auto"/>
        <w:rPr>
          <w:rFonts w:hint="default" w:ascii="Times New Roman" w:hAnsi="Times New Roman" w:eastAsia="仿宋_GB2312" w:cs="Times New Roman"/>
          <w:spacing w:val="0"/>
          <w:sz w:val="30"/>
          <w:szCs w:val="30"/>
        </w:rPr>
      </w:pPr>
    </w:p>
    <w:p>
      <w:pPr>
        <w:pStyle w:val="6"/>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firstLine="600" w:firstLineChars="200"/>
        <w:jc w:val="both"/>
        <w:textAlignment w:val="auto"/>
        <w:rPr>
          <w:rFonts w:hint="default" w:ascii="Times New Roman" w:hAnsi="Times New Roman" w:cs="Times New Roman"/>
        </w:rPr>
      </w:pPr>
      <w:bookmarkStart w:id="0" w:name="_GoBack"/>
      <w:bookmarkEnd w:id="0"/>
      <w:r>
        <w:rPr>
          <w:rFonts w:hint="default" w:ascii="Times New Roman" w:hAnsi="Times New Roman" w:eastAsia="仿宋_GB2312" w:cs="Times New Roman"/>
          <w:spacing w:val="0"/>
          <w:sz w:val="30"/>
          <w:szCs w:val="30"/>
        </w:rPr>
        <w:t>根据《中华人民共和国政府信息公开条例》（国务院令第</w:t>
      </w:r>
      <w:r>
        <w:rPr>
          <w:rFonts w:hint="default" w:ascii="Times New Roman" w:hAnsi="Times New Roman" w:cs="Times New Roman"/>
          <w:spacing w:val="0"/>
          <w:sz w:val="30"/>
          <w:szCs w:val="30"/>
        </w:rPr>
        <w:t>711</w:t>
      </w:r>
      <w:r>
        <w:rPr>
          <w:rFonts w:hint="default" w:ascii="Times New Roman" w:hAnsi="Times New Roman" w:eastAsia="仿宋_GB2312" w:cs="Times New Roman"/>
          <w:spacing w:val="0"/>
          <w:sz w:val="30"/>
          <w:szCs w:val="30"/>
        </w:rPr>
        <w:t>号，以下简称《条例》）和《国务院办公厅政府信息与政务公开办公室关于政府信息公开工作年度报告有关事项的通知》（国办公开办函〔</w:t>
      </w:r>
      <w:r>
        <w:rPr>
          <w:rFonts w:hint="default" w:ascii="Times New Roman" w:hAnsi="Times New Roman" w:cs="Times New Roman"/>
          <w:spacing w:val="0"/>
          <w:sz w:val="30"/>
          <w:szCs w:val="30"/>
        </w:rPr>
        <w:t>2019</w:t>
      </w:r>
      <w:r>
        <w:rPr>
          <w:rFonts w:hint="default" w:ascii="Times New Roman" w:hAnsi="Times New Roman" w:eastAsia="仿宋_GB2312" w:cs="Times New Roman"/>
          <w:spacing w:val="0"/>
          <w:sz w:val="30"/>
          <w:szCs w:val="30"/>
        </w:rPr>
        <w:t>〕</w:t>
      </w:r>
      <w:r>
        <w:rPr>
          <w:rFonts w:hint="default" w:ascii="Times New Roman" w:hAnsi="Times New Roman" w:cs="Times New Roman"/>
          <w:spacing w:val="0"/>
          <w:sz w:val="30"/>
          <w:szCs w:val="30"/>
        </w:rPr>
        <w:t>60</w:t>
      </w:r>
      <w:r>
        <w:rPr>
          <w:rFonts w:hint="default" w:ascii="Times New Roman" w:hAnsi="Times New Roman" w:eastAsia="仿宋_GB2312" w:cs="Times New Roman"/>
          <w:spacing w:val="0"/>
          <w:sz w:val="30"/>
          <w:szCs w:val="30"/>
        </w:rPr>
        <w:t>号）要求，现就推进政府信息公开工作情况，向社会公布薛城区</w:t>
      </w:r>
      <w:r>
        <w:rPr>
          <w:rFonts w:hint="default" w:ascii="Times New Roman" w:hAnsi="Times New Roman" w:eastAsia="仿宋_GB2312" w:cs="Times New Roman"/>
          <w:spacing w:val="0"/>
          <w:sz w:val="30"/>
          <w:szCs w:val="30"/>
          <w:lang w:eastAsia="zh-CN"/>
        </w:rPr>
        <w:t>卫生健康</w:t>
      </w:r>
      <w:r>
        <w:rPr>
          <w:rFonts w:hint="default" w:ascii="Times New Roman" w:hAnsi="Times New Roman" w:eastAsia="仿宋_GB2312" w:cs="Times New Roman"/>
          <w:spacing w:val="0"/>
          <w:sz w:val="30"/>
          <w:szCs w:val="30"/>
        </w:rPr>
        <w:t>局</w:t>
      </w:r>
      <w:r>
        <w:rPr>
          <w:rFonts w:hint="default" w:ascii="Times New Roman" w:hAnsi="Times New Roman" w:cs="Times New Roman"/>
          <w:spacing w:val="0"/>
          <w:sz w:val="30"/>
          <w:szCs w:val="30"/>
        </w:rPr>
        <w:t>2020</w:t>
      </w:r>
      <w:r>
        <w:rPr>
          <w:rFonts w:hint="default" w:ascii="Times New Roman" w:hAnsi="Times New Roman" w:eastAsia="仿宋_GB2312" w:cs="Times New Roman"/>
          <w:spacing w:val="0"/>
          <w:sz w:val="30"/>
          <w:szCs w:val="30"/>
        </w:rPr>
        <w:t>年度政府信息公开年度报告。本报告包括总体情况、主动公开政府信息情况、收到和处理政府信息公开申请情况、政府信息公开行政复议和行政诉讼情况、存在的主要问题及改进情况、其他需要报告的事项等六个部分。本年度报告中所列数据的统计期限自</w:t>
      </w:r>
      <w:r>
        <w:rPr>
          <w:rFonts w:hint="default" w:ascii="Times New Roman" w:hAnsi="Times New Roman" w:cs="Times New Roman"/>
          <w:spacing w:val="0"/>
          <w:sz w:val="30"/>
          <w:szCs w:val="30"/>
        </w:rPr>
        <w:t>2020</w:t>
      </w:r>
      <w:r>
        <w:rPr>
          <w:rFonts w:hint="default" w:ascii="Times New Roman" w:hAnsi="Times New Roman" w:eastAsia="仿宋_GB2312" w:cs="Times New Roman"/>
          <w:spacing w:val="0"/>
          <w:sz w:val="30"/>
          <w:szCs w:val="30"/>
        </w:rPr>
        <w:t>年</w:t>
      </w:r>
      <w:r>
        <w:rPr>
          <w:rFonts w:hint="default" w:ascii="Times New Roman" w:hAnsi="Times New Roman" w:cs="Times New Roman"/>
          <w:spacing w:val="0"/>
          <w:sz w:val="30"/>
          <w:szCs w:val="30"/>
        </w:rPr>
        <w:t>1</w:t>
      </w:r>
      <w:r>
        <w:rPr>
          <w:rFonts w:hint="default" w:ascii="Times New Roman" w:hAnsi="Times New Roman" w:eastAsia="仿宋_GB2312" w:cs="Times New Roman"/>
          <w:spacing w:val="0"/>
          <w:sz w:val="30"/>
          <w:szCs w:val="30"/>
        </w:rPr>
        <w:t>月</w:t>
      </w:r>
      <w:r>
        <w:rPr>
          <w:rFonts w:hint="default" w:ascii="Times New Roman" w:hAnsi="Times New Roman" w:cs="Times New Roman"/>
          <w:spacing w:val="0"/>
          <w:sz w:val="30"/>
          <w:szCs w:val="30"/>
        </w:rPr>
        <w:t>1</w:t>
      </w:r>
      <w:r>
        <w:rPr>
          <w:rFonts w:hint="default" w:ascii="Times New Roman" w:hAnsi="Times New Roman" w:eastAsia="仿宋_GB2312" w:cs="Times New Roman"/>
          <w:spacing w:val="0"/>
          <w:sz w:val="30"/>
          <w:szCs w:val="30"/>
        </w:rPr>
        <w:t>日起至</w:t>
      </w:r>
      <w:r>
        <w:rPr>
          <w:rFonts w:hint="default" w:ascii="Times New Roman" w:hAnsi="Times New Roman" w:cs="Times New Roman"/>
          <w:spacing w:val="0"/>
          <w:sz w:val="30"/>
          <w:szCs w:val="30"/>
        </w:rPr>
        <w:t>2020</w:t>
      </w:r>
      <w:r>
        <w:rPr>
          <w:rFonts w:hint="default" w:ascii="Times New Roman" w:hAnsi="Times New Roman" w:eastAsia="仿宋_GB2312" w:cs="Times New Roman"/>
          <w:spacing w:val="0"/>
          <w:sz w:val="30"/>
          <w:szCs w:val="30"/>
        </w:rPr>
        <w:t>年</w:t>
      </w:r>
      <w:r>
        <w:rPr>
          <w:rFonts w:hint="default" w:ascii="Times New Roman" w:hAnsi="Times New Roman" w:cs="Times New Roman"/>
          <w:spacing w:val="0"/>
          <w:sz w:val="30"/>
          <w:szCs w:val="30"/>
        </w:rPr>
        <w:t>12</w:t>
      </w:r>
      <w:r>
        <w:rPr>
          <w:rFonts w:hint="default" w:ascii="Times New Roman" w:hAnsi="Times New Roman" w:eastAsia="仿宋_GB2312" w:cs="Times New Roman"/>
          <w:spacing w:val="0"/>
          <w:sz w:val="30"/>
          <w:szCs w:val="30"/>
        </w:rPr>
        <w:t>月</w:t>
      </w:r>
      <w:r>
        <w:rPr>
          <w:rFonts w:hint="default" w:ascii="Times New Roman" w:hAnsi="Times New Roman" w:cs="Times New Roman"/>
          <w:spacing w:val="0"/>
          <w:sz w:val="30"/>
          <w:szCs w:val="30"/>
        </w:rPr>
        <w:t>31</w:t>
      </w:r>
      <w:r>
        <w:rPr>
          <w:rFonts w:hint="default" w:ascii="Times New Roman" w:hAnsi="Times New Roman" w:eastAsia="仿宋_GB2312" w:cs="Times New Roman"/>
          <w:spacing w:val="0"/>
          <w:sz w:val="30"/>
          <w:szCs w:val="30"/>
        </w:rPr>
        <w:t>日止。本年度报告的电子版可以在</w:t>
      </w:r>
      <w:r>
        <w:rPr>
          <w:rFonts w:hint="default" w:ascii="Times New Roman" w:hAnsi="Times New Roman" w:cs="Times New Roman"/>
          <w:spacing w:val="0"/>
          <w:sz w:val="30"/>
          <w:szCs w:val="30"/>
        </w:rPr>
        <w:t>“</w:t>
      </w:r>
      <w:r>
        <w:rPr>
          <w:rFonts w:hint="default" w:ascii="Times New Roman" w:hAnsi="Times New Roman" w:eastAsia="仿宋_GB2312" w:cs="Times New Roman"/>
          <w:spacing w:val="0"/>
          <w:sz w:val="30"/>
          <w:szCs w:val="30"/>
        </w:rPr>
        <w:t>薛城</w:t>
      </w:r>
      <w:r>
        <w:rPr>
          <w:rFonts w:hint="default" w:ascii="Times New Roman" w:hAnsi="Times New Roman" w:eastAsia="仿宋_GB2312" w:cs="Times New Roman"/>
          <w:spacing w:val="-20"/>
          <w:sz w:val="30"/>
          <w:szCs w:val="30"/>
        </w:rPr>
        <w:t>区政府门户网站</w:t>
      </w:r>
      <w:r>
        <w:rPr>
          <w:rFonts w:hint="default" w:ascii="Times New Roman" w:hAnsi="Times New Roman" w:cs="Times New Roman"/>
          <w:spacing w:val="-20"/>
          <w:sz w:val="30"/>
          <w:szCs w:val="30"/>
        </w:rPr>
        <w:t>”</w:t>
      </w:r>
      <w:r>
        <w:rPr>
          <w:rFonts w:hint="default" w:ascii="Times New Roman" w:hAnsi="Times New Roman" w:eastAsia="仿宋_GB2312" w:cs="Times New Roman"/>
          <w:spacing w:val="0"/>
          <w:sz w:val="30"/>
          <w:szCs w:val="30"/>
        </w:rPr>
        <w:t>（</w:t>
      </w:r>
      <w:r>
        <w:rPr>
          <w:rFonts w:hint="default" w:ascii="Times New Roman" w:hAnsi="Times New Roman" w:cs="Times New Roman"/>
          <w:spacing w:val="0"/>
          <w:sz w:val="30"/>
          <w:szCs w:val="30"/>
        </w:rPr>
        <w:t>http://xxgk.xuecheng.gov.cn/xxgknb/2020xxgknb/)</w:t>
      </w:r>
      <w:r>
        <w:rPr>
          <w:rFonts w:hint="default" w:ascii="Times New Roman" w:hAnsi="Times New Roman" w:eastAsia="仿宋_GB2312" w:cs="Times New Roman"/>
          <w:spacing w:val="0"/>
          <w:sz w:val="30"/>
          <w:szCs w:val="30"/>
        </w:rPr>
        <w:t>下载。如对本报告有疑问，可与薛城区</w:t>
      </w:r>
      <w:r>
        <w:rPr>
          <w:rFonts w:hint="default" w:ascii="Times New Roman" w:hAnsi="Times New Roman" w:eastAsia="仿宋_GB2312" w:cs="Times New Roman"/>
          <w:spacing w:val="0"/>
          <w:sz w:val="30"/>
          <w:szCs w:val="30"/>
        </w:rPr>
        <w:t>卫生健康局</w:t>
      </w:r>
      <w:r>
        <w:rPr>
          <w:rFonts w:hint="default" w:ascii="Times New Roman" w:hAnsi="Times New Roman" w:eastAsia="仿宋_GB2312" w:cs="Times New Roman"/>
          <w:spacing w:val="0"/>
          <w:sz w:val="30"/>
          <w:szCs w:val="30"/>
        </w:rPr>
        <w:t>联系</w:t>
      </w:r>
      <w:r>
        <w:rPr>
          <w:rFonts w:hint="default" w:ascii="Times New Roman" w:hAnsi="Times New Roman" w:cs="Times New Roman"/>
          <w:spacing w:val="0"/>
          <w:sz w:val="30"/>
          <w:szCs w:val="30"/>
        </w:rPr>
        <w:t>(</w:t>
      </w:r>
      <w:r>
        <w:rPr>
          <w:rFonts w:hint="default" w:ascii="Times New Roman" w:hAnsi="Times New Roman" w:eastAsia="仿宋_GB2312" w:cs="Times New Roman"/>
          <w:spacing w:val="0"/>
          <w:sz w:val="30"/>
          <w:szCs w:val="30"/>
        </w:rPr>
        <w:t>地址</w:t>
      </w:r>
      <w:r>
        <w:rPr>
          <w:rFonts w:hint="default" w:ascii="Times New Roman" w:hAnsi="Times New Roman" w:cs="Times New Roman"/>
          <w:spacing w:val="0"/>
          <w:sz w:val="30"/>
          <w:szCs w:val="30"/>
        </w:rPr>
        <w:t>:</w:t>
      </w:r>
      <w:r>
        <w:rPr>
          <w:rFonts w:hint="default" w:ascii="Times New Roman" w:hAnsi="Times New Roman" w:eastAsia="仿宋_GB2312" w:cs="Times New Roman"/>
          <w:spacing w:val="0"/>
          <w:sz w:val="30"/>
          <w:szCs w:val="30"/>
        </w:rPr>
        <w:t>枣庄市薛城区</w:t>
      </w:r>
      <w:r>
        <w:rPr>
          <w:rFonts w:hint="default" w:ascii="Times New Roman" w:hAnsi="Times New Roman" w:eastAsia="仿宋_GB2312" w:cs="Times New Roman"/>
          <w:spacing w:val="0"/>
          <w:sz w:val="30"/>
          <w:szCs w:val="30"/>
        </w:rPr>
        <w:t>湘江路仲建商务广场</w:t>
      </w:r>
      <w:r>
        <w:rPr>
          <w:rFonts w:hint="default" w:ascii="Times New Roman" w:hAnsi="Times New Roman" w:eastAsia="仿宋_GB2312" w:cs="Times New Roman"/>
          <w:spacing w:val="0"/>
          <w:sz w:val="30"/>
          <w:szCs w:val="30"/>
        </w:rPr>
        <w:t>A903</w:t>
      </w:r>
      <w:r>
        <w:rPr>
          <w:rFonts w:hint="default" w:ascii="Times New Roman" w:hAnsi="Times New Roman" w:eastAsia="仿宋_GB2312" w:cs="Times New Roman"/>
          <w:spacing w:val="0"/>
          <w:sz w:val="30"/>
          <w:szCs w:val="30"/>
        </w:rPr>
        <w:t>，邮编：</w:t>
      </w:r>
      <w:r>
        <w:rPr>
          <w:rFonts w:hint="default" w:ascii="Times New Roman" w:hAnsi="Times New Roman" w:cs="Times New Roman"/>
          <w:spacing w:val="0"/>
          <w:sz w:val="30"/>
          <w:szCs w:val="30"/>
        </w:rPr>
        <w:t xml:space="preserve">277000 </w:t>
      </w:r>
      <w:r>
        <w:rPr>
          <w:rFonts w:hint="default" w:ascii="Times New Roman" w:hAnsi="Times New Roman" w:eastAsia="仿宋_GB2312" w:cs="Times New Roman"/>
          <w:spacing w:val="0"/>
          <w:sz w:val="30"/>
          <w:szCs w:val="30"/>
        </w:rPr>
        <w:t>，电话：</w:t>
      </w:r>
      <w:r>
        <w:rPr>
          <w:rFonts w:hint="default" w:ascii="Times New Roman" w:hAnsi="Times New Roman" w:cs="Times New Roman"/>
          <w:spacing w:val="0"/>
          <w:sz w:val="30"/>
          <w:szCs w:val="30"/>
        </w:rPr>
        <w:t>0632—4412513</w:t>
      </w:r>
      <w:r>
        <w:rPr>
          <w:rFonts w:hint="default" w:ascii="Times New Roman" w:hAnsi="Times New Roman" w:eastAsia="仿宋_GB2312" w:cs="Times New Roman"/>
          <w:spacing w:val="0"/>
          <w:sz w:val="30"/>
          <w:szCs w:val="30"/>
        </w:rPr>
        <w:t>，电子邮箱：</w:t>
      </w:r>
      <w:r>
        <w:rPr>
          <w:rFonts w:hint="default" w:ascii="Times New Roman" w:hAnsi="Times New Roman" w:eastAsia="仿宋_GB2312" w:cs="Times New Roman"/>
          <w:spacing w:val="0"/>
          <w:sz w:val="30"/>
          <w:szCs w:val="30"/>
        </w:rPr>
        <w:t>xcqwshjhsyjadmin</w:t>
      </w:r>
      <w:r>
        <w:rPr>
          <w:rFonts w:hint="default" w:ascii="Times New Roman" w:hAnsi="Times New Roman" w:cs="Times New Roman"/>
          <w:spacing w:val="0"/>
          <w:sz w:val="30"/>
          <w:szCs w:val="30"/>
        </w:rPr>
        <w:t xml:space="preserve">@zz.shandong.cn </w:t>
      </w:r>
    </w:p>
    <w:p>
      <w:pPr>
        <w:pStyle w:val="6"/>
        <w:keepNext w:val="0"/>
        <w:keepLines w:val="0"/>
        <w:pageBreakBefore w:val="0"/>
        <w:widowControl w:val="0"/>
        <w:suppressLineNumbers w:val="0"/>
        <w:shd w:val="clear" w:fill="FFFFFF"/>
        <w:kinsoku/>
        <w:wordWrap/>
        <w:overflowPunct/>
        <w:topLinePunct w:val="0"/>
        <w:autoSpaceDE/>
        <w:autoSpaceDN/>
        <w:bidi w:val="0"/>
        <w:adjustRightInd/>
        <w:snapToGrid/>
        <w:spacing w:before="0" w:beforeAutospacing="0" w:after="0" w:afterAutospacing="0" w:line="600" w:lineRule="exact"/>
        <w:ind w:left="0" w:firstLine="630" w:firstLineChars="200"/>
        <w:jc w:val="both"/>
        <w:textAlignment w:val="auto"/>
        <w:rPr>
          <w:rFonts w:hint="default" w:ascii="Times New Roman" w:hAnsi="Times New Roman" w:cs="Times New Roman"/>
        </w:rPr>
      </w:pPr>
      <w:r>
        <w:rPr>
          <w:rFonts w:hint="default" w:ascii="Times New Roman" w:hAnsi="Times New Roman" w:eastAsia="黑体" w:cs="Times New Roman"/>
          <w:color w:val="000000"/>
          <w:sz w:val="31"/>
          <w:szCs w:val="31"/>
          <w:shd w:val="clear" w:fill="FFFFFF"/>
        </w:rPr>
        <w:t>一、整体情况</w:t>
      </w:r>
    </w:p>
    <w:p>
      <w:pPr>
        <w:pStyle w:val="6"/>
        <w:keepNext w:val="0"/>
        <w:keepLines w:val="0"/>
        <w:pageBreakBefore w:val="0"/>
        <w:widowControl w:val="0"/>
        <w:suppressLineNumbers w:val="0"/>
        <w:shd w:val="clear" w:fill="FFFFFF"/>
        <w:kinsoku/>
        <w:wordWrap/>
        <w:overflowPunct/>
        <w:topLinePunct w:val="0"/>
        <w:autoSpaceDE/>
        <w:autoSpaceDN/>
        <w:bidi w:val="0"/>
        <w:adjustRightInd/>
        <w:snapToGrid/>
        <w:spacing w:before="0" w:beforeAutospacing="0" w:after="0" w:afterAutospacing="0" w:line="600" w:lineRule="exact"/>
        <w:ind w:left="0" w:firstLine="630" w:firstLineChars="200"/>
        <w:jc w:val="both"/>
        <w:textAlignment w:val="auto"/>
        <w:rPr>
          <w:rFonts w:hint="default" w:ascii="Times New Roman" w:hAnsi="Times New Roman" w:cs="Times New Roman"/>
        </w:rPr>
      </w:pPr>
      <w:r>
        <w:rPr>
          <w:rFonts w:hint="default" w:ascii="Times New Roman" w:hAnsi="Times New Roman" w:eastAsia="仿宋_GB2312" w:cs="Times New Roman"/>
          <w:color w:val="000000"/>
          <w:sz w:val="31"/>
          <w:szCs w:val="31"/>
          <w:shd w:val="clear" w:fill="FFFFFF"/>
        </w:rPr>
        <w:t>2020年，薛城区卫生健康局认真贯彻落实《中华人民共和国政府信息公开条例》和《国务院办公厅政府信息与政务公开办公室关于政府信息公开工作年度报告有关事项的通知》（国办公开办函〔2019〕60号）,并按照上级机关有关政府信息公开的要求，积极推进政府信息公开工作，拓宽信息公开渠道，提升规范公开内容质量，确保信息内容准确规范地传达给社会、公众。</w:t>
      </w:r>
    </w:p>
    <w:p>
      <w:pPr>
        <w:pStyle w:val="6"/>
        <w:keepNext w:val="0"/>
        <w:keepLines w:val="0"/>
        <w:pageBreakBefore w:val="0"/>
        <w:widowControl w:val="0"/>
        <w:suppressLineNumbers w:val="0"/>
        <w:shd w:val="clear" w:fill="FFFFFF"/>
        <w:kinsoku/>
        <w:wordWrap/>
        <w:overflowPunct/>
        <w:topLinePunct w:val="0"/>
        <w:autoSpaceDE/>
        <w:autoSpaceDN/>
        <w:bidi w:val="0"/>
        <w:adjustRightInd/>
        <w:snapToGrid/>
        <w:spacing w:before="0" w:beforeAutospacing="0" w:after="0" w:afterAutospacing="0" w:line="600" w:lineRule="exact"/>
        <w:ind w:left="0" w:firstLine="632" w:firstLineChars="200"/>
        <w:jc w:val="both"/>
        <w:textAlignment w:val="auto"/>
        <w:rPr>
          <w:rFonts w:hint="default" w:ascii="Times New Roman" w:hAnsi="Times New Roman" w:cs="Times New Roman"/>
        </w:rPr>
      </w:pPr>
      <w:r>
        <w:rPr>
          <w:rStyle w:val="9"/>
          <w:rFonts w:hint="default" w:ascii="Times New Roman" w:hAnsi="Times New Roman" w:eastAsia="仿宋_GB2312" w:cs="Times New Roman"/>
          <w:color w:val="000000"/>
          <w:sz w:val="31"/>
          <w:szCs w:val="31"/>
          <w:shd w:val="clear" w:fill="FFFFFF"/>
        </w:rPr>
        <w:t>(一)加强思想教育,提高对政府信息公开认识。</w:t>
      </w:r>
      <w:r>
        <w:rPr>
          <w:rFonts w:hint="default" w:ascii="Times New Roman" w:hAnsi="Times New Roman" w:eastAsia="仿宋_GB2312" w:cs="Times New Roman"/>
          <w:color w:val="000000"/>
          <w:sz w:val="31"/>
          <w:szCs w:val="31"/>
          <w:shd w:val="clear" w:fill="FFFFFF"/>
        </w:rPr>
        <w:t>紧紧围绕贯彻习近平新时代中国特色社会主义思想，加强党建引领，认真学习《中华人民共和国政府信息公开条例》等系列文件，提高全局干部对政府信息公开认识。同时注意加强信息公开业务培训，把卫生</w:t>
      </w:r>
      <w:r>
        <w:rPr>
          <w:rFonts w:hint="default" w:ascii="Times New Roman" w:hAnsi="Times New Roman" w:eastAsia="仿宋_GB2312" w:cs="Times New Roman"/>
          <w:color w:val="000000"/>
          <w:sz w:val="31"/>
          <w:szCs w:val="31"/>
          <w:shd w:val="clear" w:fill="FFFFFF"/>
          <w:lang w:eastAsia="zh-CN"/>
        </w:rPr>
        <w:t>健康</w:t>
      </w:r>
      <w:r>
        <w:rPr>
          <w:rFonts w:hint="default" w:ascii="Times New Roman" w:hAnsi="Times New Roman" w:eastAsia="仿宋_GB2312" w:cs="Times New Roman"/>
          <w:color w:val="000000"/>
          <w:sz w:val="31"/>
          <w:szCs w:val="31"/>
          <w:shd w:val="clear" w:fill="FFFFFF"/>
        </w:rPr>
        <w:t>知识和政务公开相结合，进一步提高卫生健康工作信息公开的质量。</w:t>
      </w:r>
    </w:p>
    <w:p>
      <w:pPr>
        <w:pStyle w:val="6"/>
        <w:keepNext w:val="0"/>
        <w:keepLines w:val="0"/>
        <w:pageBreakBefore w:val="0"/>
        <w:widowControl w:val="0"/>
        <w:suppressLineNumbers w:val="0"/>
        <w:shd w:val="clear" w:fill="FFFFFF"/>
        <w:kinsoku/>
        <w:wordWrap/>
        <w:overflowPunct/>
        <w:topLinePunct w:val="0"/>
        <w:autoSpaceDE/>
        <w:autoSpaceDN/>
        <w:bidi w:val="0"/>
        <w:adjustRightInd/>
        <w:snapToGrid/>
        <w:spacing w:before="0" w:beforeAutospacing="0" w:after="0" w:afterAutospacing="0" w:line="600" w:lineRule="exact"/>
        <w:ind w:left="0" w:firstLine="632" w:firstLineChars="200"/>
        <w:jc w:val="both"/>
        <w:textAlignment w:val="auto"/>
        <w:rPr>
          <w:rFonts w:hint="default" w:ascii="Times New Roman" w:hAnsi="Times New Roman" w:eastAsia="仿宋_GB2312" w:cs="Times New Roman"/>
          <w:color w:val="000000"/>
          <w:sz w:val="31"/>
          <w:szCs w:val="31"/>
          <w:shd w:val="clear" w:fill="FFFFFF"/>
        </w:rPr>
      </w:pPr>
      <w:r>
        <w:rPr>
          <w:rStyle w:val="9"/>
          <w:rFonts w:hint="default" w:ascii="Times New Roman" w:hAnsi="Times New Roman" w:eastAsia="仿宋_GB2312" w:cs="Times New Roman"/>
          <w:color w:val="000000"/>
          <w:sz w:val="31"/>
          <w:szCs w:val="31"/>
          <w:shd w:val="clear" w:fill="FFFFFF"/>
        </w:rPr>
        <w:t>(二)信息公开及时，层层规范化管理。</w:t>
      </w:r>
      <w:r>
        <w:rPr>
          <w:rFonts w:hint="default" w:ascii="Times New Roman" w:hAnsi="Times New Roman" w:eastAsia="仿宋_GB2312" w:cs="Times New Roman"/>
          <w:color w:val="000000"/>
          <w:sz w:val="31"/>
          <w:szCs w:val="31"/>
          <w:shd w:val="clear" w:fill="FFFFFF"/>
        </w:rPr>
        <w:t>压实信息公开各级主体责任，明确一名班子成员具体分管，安排专人负责平台建设，完成局政务信息公开平台的内容维护工作，做好栏目的及时更新及上传工作。做到每层上报均有专人负责把关，确保信息准确、及时，稳定有序。2020年全年我局在薛城区政府网站上主动公开政府信息50条，其中人大政协提案8条，日常监督检查9条；疫情防控相关信息7条；会议公开信息1条；医疗资源配置情况1条，执法流程信息5条，其他信息19条。</w:t>
      </w:r>
    </w:p>
    <w:p>
      <w:pPr>
        <w:bidi w:val="0"/>
        <w:rPr>
          <w:rFonts w:hint="default"/>
        </w:rPr>
      </w:pPr>
    </w:p>
    <w:p>
      <w:pPr>
        <w:bidi w:val="0"/>
        <w:rPr>
          <w:rFonts w:hint="default"/>
        </w:rPr>
      </w:pPr>
    </w:p>
    <w:p>
      <w:pPr>
        <w:bidi w:val="0"/>
        <w:rPr>
          <w:rFonts w:hint="default"/>
        </w:rPr>
      </w:pPr>
    </w:p>
    <w:p>
      <w:pPr>
        <w:bidi w:val="0"/>
        <w:jc w:val="both"/>
        <w:rPr>
          <w:rFonts w:hint="default"/>
        </w:rPr>
      </w:pPr>
    </w:p>
    <w:p>
      <w:pPr>
        <w:pStyle w:val="6"/>
        <w:keepNext w:val="0"/>
        <w:keepLines w:val="0"/>
        <w:widowControl/>
        <w:suppressLineNumbers w:val="0"/>
        <w:spacing w:line="420" w:lineRule="atLeast"/>
        <w:jc w:val="center"/>
      </w:pPr>
      <w:r>
        <w:drawing>
          <wp:inline distT="0" distB="0" distL="114300" distR="114300">
            <wp:extent cx="4800600" cy="3607435"/>
            <wp:effectExtent l="0" t="0" r="0" b="12065"/>
            <wp:docPr id="2" name="图片 1" descr="微信图片_2021052811294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微信图片_20210528112947.png"/>
                    <pic:cNvPicPr>
                      <a:picLocks noChangeAspect="1"/>
                    </pic:cNvPicPr>
                  </pic:nvPicPr>
                  <pic:blipFill>
                    <a:blip r:embed="rId4"/>
                    <a:stretch>
                      <a:fillRect/>
                    </a:stretch>
                  </pic:blipFill>
                  <pic:spPr>
                    <a:xfrm>
                      <a:off x="0" y="0"/>
                      <a:ext cx="4800600" cy="3607435"/>
                    </a:xfrm>
                    <a:prstGeom prst="rect">
                      <a:avLst/>
                    </a:prstGeom>
                    <a:noFill/>
                    <a:ln w="9525">
                      <a:noFill/>
                    </a:ln>
                  </pic:spPr>
                </pic:pic>
              </a:graphicData>
            </a:graphic>
          </wp:inline>
        </w:drawing>
      </w:r>
    </w:p>
    <w:p>
      <w:pPr>
        <w:pStyle w:val="6"/>
        <w:keepNext w:val="0"/>
        <w:keepLines w:val="0"/>
        <w:widowControl/>
        <w:suppressLineNumbers w:val="0"/>
        <w:shd w:val="clear" w:fill="FFFFFF"/>
        <w:spacing w:after="180" w:afterAutospacing="0" w:line="420" w:lineRule="atLeast"/>
        <w:ind w:left="0" w:firstLine="480"/>
        <w:jc w:val="left"/>
      </w:pPr>
      <w:r>
        <w:rPr>
          <w:rFonts w:hint="eastAsia" w:ascii="仿宋_GB2312" w:eastAsia="仿宋_GB2312" w:cs="仿宋_GB2312"/>
          <w:color w:val="000000"/>
          <w:sz w:val="31"/>
          <w:szCs w:val="31"/>
          <w:shd w:val="clear" w:fill="FFFFFF"/>
        </w:rPr>
        <w:t>​</w:t>
      </w:r>
    </w:p>
    <w:p>
      <w:pPr>
        <w:pStyle w:val="6"/>
        <w:keepNext w:val="0"/>
        <w:keepLines w:val="0"/>
        <w:widowControl/>
        <w:suppressLineNumbers w:val="0"/>
        <w:spacing w:line="420" w:lineRule="atLeast"/>
        <w:ind w:left="0" w:firstLine="420"/>
        <w:jc w:val="left"/>
      </w:pPr>
      <w:r>
        <w:rPr>
          <w:rFonts w:hint="eastAsia" w:ascii="黑体" w:hAnsi="宋体" w:eastAsia="黑体" w:cs="黑体"/>
          <w:color w:val="000000"/>
          <w:sz w:val="31"/>
          <w:szCs w:val="31"/>
        </w:rPr>
        <w:t>二、主动公开政府信息情况</w:t>
      </w:r>
    </w:p>
    <w:tbl>
      <w:tblPr>
        <w:tblW w:w="0" w:type="auto"/>
        <w:tblInd w:w="0" w:type="dxa"/>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3120"/>
        <w:gridCol w:w="1875"/>
        <w:gridCol w:w="1275"/>
        <w:gridCol w:w="1875"/>
      </w:tblGrid>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trHeight w:val="495" w:hRule="atLeast"/>
        </w:trPr>
        <w:tc>
          <w:tcPr>
            <w:tcW w:w="8145" w:type="dxa"/>
            <w:gridSpan w:val="4"/>
            <w:tcBorders>
              <w:top w:val="single" w:color="auto" w:sz="6" w:space="0"/>
              <w:left w:val="single" w:color="auto" w:sz="6" w:space="0"/>
              <w:bottom w:val="single" w:color="auto" w:sz="6" w:space="0"/>
              <w:right w:val="single" w:color="auto" w:sz="6" w:space="0"/>
            </w:tcBorders>
            <w:shd w:val="clear" w:color="auto" w:fill="C6D9F1"/>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color w:val="000000"/>
                <w:sz w:val="19"/>
                <w:szCs w:val="19"/>
                <w:bdr w:val="none" w:color="auto" w:sz="0" w:space="0"/>
              </w:rPr>
              <w:t>第二十条第（一）项</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885" w:hRule="atLeast"/>
        </w:trPr>
        <w:tc>
          <w:tcPr>
            <w:tcW w:w="3120" w:type="dxa"/>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color w:val="000000"/>
                <w:sz w:val="19"/>
                <w:szCs w:val="19"/>
                <w:bdr w:val="none" w:color="auto" w:sz="0" w:space="0"/>
              </w:rPr>
              <w:t>信息内容</w:t>
            </w:r>
          </w:p>
        </w:tc>
        <w:tc>
          <w:tcPr>
            <w:tcW w:w="1875" w:type="dxa"/>
            <w:tcBorders>
              <w:top w:val="single" w:color="auto" w:sz="6" w:space="0"/>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color w:val="000000"/>
                <w:sz w:val="19"/>
                <w:szCs w:val="19"/>
                <w:bdr w:val="none" w:color="auto" w:sz="0" w:space="0"/>
              </w:rPr>
              <w:t>本年新</w:t>
            </w:r>
            <w:r>
              <w:rPr>
                <w:rFonts w:hint="eastAsia" w:ascii="宋体" w:hAnsi="宋体" w:eastAsia="宋体" w:cs="宋体"/>
                <w:color w:val="000000"/>
                <w:sz w:val="19"/>
                <w:szCs w:val="19"/>
                <w:bdr w:val="none" w:color="auto" w:sz="0" w:space="0"/>
              </w:rPr>
              <w:br w:type="textWrapping"/>
            </w:r>
            <w:r>
              <w:rPr>
                <w:rFonts w:hint="eastAsia" w:ascii="宋体" w:hAnsi="宋体" w:eastAsia="宋体" w:cs="宋体"/>
                <w:sz w:val="19"/>
                <w:szCs w:val="19"/>
                <w:bdr w:val="none" w:color="auto" w:sz="0" w:space="0"/>
              </w:rPr>
              <w:t>制作数量</w:t>
            </w:r>
          </w:p>
        </w:tc>
        <w:tc>
          <w:tcPr>
            <w:tcW w:w="1275" w:type="dxa"/>
            <w:tcBorders>
              <w:top w:val="single" w:color="auto" w:sz="6" w:space="0"/>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color w:val="000000"/>
                <w:sz w:val="19"/>
                <w:szCs w:val="19"/>
                <w:bdr w:val="none" w:color="auto" w:sz="0" w:space="0"/>
              </w:rPr>
              <w:t>本年新</w:t>
            </w:r>
            <w:r>
              <w:rPr>
                <w:rFonts w:hint="eastAsia" w:ascii="宋体" w:hAnsi="宋体" w:eastAsia="宋体" w:cs="宋体"/>
                <w:color w:val="000000"/>
                <w:sz w:val="19"/>
                <w:szCs w:val="19"/>
                <w:bdr w:val="none" w:color="auto" w:sz="0" w:space="0"/>
              </w:rPr>
              <w:br w:type="textWrapping"/>
            </w:r>
            <w:r>
              <w:rPr>
                <w:rFonts w:hint="eastAsia" w:ascii="宋体" w:hAnsi="宋体" w:eastAsia="宋体" w:cs="宋体"/>
                <w:sz w:val="19"/>
                <w:szCs w:val="19"/>
                <w:bdr w:val="none" w:color="auto" w:sz="0" w:space="0"/>
              </w:rPr>
              <w:t>公开数量</w:t>
            </w:r>
          </w:p>
        </w:tc>
        <w:tc>
          <w:tcPr>
            <w:tcW w:w="187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color w:val="000000"/>
                <w:sz w:val="19"/>
                <w:szCs w:val="19"/>
                <w:bdr w:val="none" w:color="auto" w:sz="0" w:space="0"/>
              </w:rPr>
              <w:t>对外公开总数量</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525" w:hRule="atLeast"/>
        </w:trPr>
        <w:tc>
          <w:tcPr>
            <w:tcW w:w="3120" w:type="dxa"/>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宋体" w:hAnsi="宋体" w:eastAsia="宋体" w:cs="宋体"/>
                <w:color w:val="000000"/>
                <w:sz w:val="19"/>
                <w:szCs w:val="19"/>
                <w:bdr w:val="none" w:color="auto" w:sz="0" w:space="0"/>
              </w:rPr>
              <w:t>规章</w:t>
            </w:r>
          </w:p>
        </w:tc>
        <w:tc>
          <w:tcPr>
            <w:tcW w:w="187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宋体" w:hAnsi="宋体" w:eastAsia="宋体" w:cs="宋体"/>
                <w:color w:val="000000"/>
                <w:sz w:val="19"/>
                <w:szCs w:val="19"/>
                <w:bdr w:val="none" w:color="auto" w:sz="0" w:space="0"/>
              </w:rPr>
              <w:t>0</w:t>
            </w:r>
          </w:p>
        </w:tc>
        <w:tc>
          <w:tcPr>
            <w:tcW w:w="127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宋体" w:hAnsi="宋体" w:eastAsia="宋体" w:cs="宋体"/>
                <w:color w:val="000000"/>
                <w:sz w:val="19"/>
                <w:szCs w:val="19"/>
                <w:bdr w:val="none" w:color="auto" w:sz="0" w:space="0"/>
              </w:rPr>
              <w:t>0</w:t>
            </w:r>
          </w:p>
        </w:tc>
        <w:tc>
          <w:tcPr>
            <w:tcW w:w="187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宋体" w:hAnsi="宋体" w:eastAsia="宋体" w:cs="宋体"/>
                <w:color w:val="000000"/>
                <w:sz w:val="19"/>
                <w:szCs w:val="19"/>
                <w:bdr w:val="none" w:color="auto" w:sz="0" w:space="0"/>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465" w:hRule="atLeast"/>
        </w:trPr>
        <w:tc>
          <w:tcPr>
            <w:tcW w:w="3120" w:type="dxa"/>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宋体" w:hAnsi="宋体" w:eastAsia="宋体" w:cs="宋体"/>
                <w:color w:val="000000"/>
                <w:sz w:val="19"/>
                <w:szCs w:val="19"/>
                <w:bdr w:val="none" w:color="auto" w:sz="0" w:space="0"/>
              </w:rPr>
              <w:t>规范性文件</w:t>
            </w:r>
          </w:p>
        </w:tc>
        <w:tc>
          <w:tcPr>
            <w:tcW w:w="187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宋体" w:hAnsi="宋体" w:eastAsia="宋体" w:cs="宋体"/>
                <w:color w:val="000000"/>
                <w:sz w:val="19"/>
                <w:szCs w:val="19"/>
                <w:bdr w:val="none" w:color="auto" w:sz="0" w:space="0"/>
              </w:rPr>
              <w:t>0</w:t>
            </w:r>
          </w:p>
        </w:tc>
        <w:tc>
          <w:tcPr>
            <w:tcW w:w="127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宋体" w:hAnsi="宋体" w:eastAsia="宋体" w:cs="宋体"/>
                <w:color w:val="000000"/>
                <w:sz w:val="19"/>
                <w:szCs w:val="19"/>
                <w:bdr w:val="none" w:color="auto" w:sz="0" w:space="0"/>
              </w:rPr>
              <w:t>0</w:t>
            </w:r>
          </w:p>
        </w:tc>
        <w:tc>
          <w:tcPr>
            <w:tcW w:w="187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宋体" w:hAnsi="宋体" w:eastAsia="宋体" w:cs="宋体"/>
                <w:color w:val="000000"/>
                <w:sz w:val="19"/>
                <w:szCs w:val="19"/>
                <w:bdr w:val="none" w:color="auto" w:sz="0" w:space="0"/>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480" w:hRule="atLeast"/>
        </w:trPr>
        <w:tc>
          <w:tcPr>
            <w:tcW w:w="8145" w:type="dxa"/>
            <w:gridSpan w:val="4"/>
            <w:tcBorders>
              <w:top w:val="nil"/>
              <w:left w:val="single" w:color="auto" w:sz="6" w:space="0"/>
              <w:bottom w:val="single" w:color="auto" w:sz="6" w:space="0"/>
              <w:right w:val="single" w:color="auto" w:sz="6" w:space="0"/>
            </w:tcBorders>
            <w:shd w:val="clear" w:color="auto" w:fill="C6D9F1"/>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color w:val="000000"/>
                <w:sz w:val="19"/>
                <w:szCs w:val="19"/>
                <w:bdr w:val="none" w:color="auto" w:sz="0" w:space="0"/>
              </w:rPr>
              <w:t>第二十条第（五）项</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630" w:hRule="atLeast"/>
        </w:trPr>
        <w:tc>
          <w:tcPr>
            <w:tcW w:w="3120" w:type="dxa"/>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color w:val="000000"/>
                <w:sz w:val="19"/>
                <w:szCs w:val="19"/>
                <w:bdr w:val="none" w:color="auto" w:sz="0" w:space="0"/>
              </w:rPr>
              <w:t>信息内容</w:t>
            </w:r>
          </w:p>
        </w:tc>
        <w:tc>
          <w:tcPr>
            <w:tcW w:w="1875" w:type="dxa"/>
            <w:tcBorders>
              <w:top w:val="single" w:color="auto" w:sz="6" w:space="0"/>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color w:val="000000"/>
                <w:sz w:val="19"/>
                <w:szCs w:val="19"/>
                <w:bdr w:val="none" w:color="auto" w:sz="0" w:space="0"/>
              </w:rPr>
              <w:t>上一年项目数量</w:t>
            </w:r>
          </w:p>
        </w:tc>
        <w:tc>
          <w:tcPr>
            <w:tcW w:w="1275" w:type="dxa"/>
            <w:tcBorders>
              <w:top w:val="single" w:color="auto" w:sz="6" w:space="0"/>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color w:val="000000"/>
                <w:sz w:val="19"/>
                <w:szCs w:val="19"/>
                <w:bdr w:val="none" w:color="auto" w:sz="0" w:space="0"/>
              </w:rPr>
              <w:t>本年增/减</w:t>
            </w:r>
          </w:p>
        </w:tc>
        <w:tc>
          <w:tcPr>
            <w:tcW w:w="187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color w:val="000000"/>
                <w:sz w:val="19"/>
                <w:szCs w:val="19"/>
                <w:bdr w:val="none" w:color="auto" w:sz="0" w:space="0"/>
              </w:rPr>
              <w:t>处理决定数量</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525" w:hRule="atLeast"/>
        </w:trPr>
        <w:tc>
          <w:tcPr>
            <w:tcW w:w="3120" w:type="dxa"/>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宋体" w:hAnsi="宋体" w:eastAsia="宋体" w:cs="宋体"/>
                <w:color w:val="000000"/>
                <w:sz w:val="19"/>
                <w:szCs w:val="19"/>
                <w:bdr w:val="none" w:color="auto" w:sz="0" w:space="0"/>
              </w:rPr>
              <w:t>行政许可</w:t>
            </w:r>
          </w:p>
        </w:tc>
        <w:tc>
          <w:tcPr>
            <w:tcW w:w="187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宋体" w:hAnsi="宋体" w:eastAsia="宋体" w:cs="宋体"/>
                <w:color w:val="000000"/>
                <w:sz w:val="19"/>
                <w:szCs w:val="19"/>
                <w:bdr w:val="none" w:color="auto" w:sz="0" w:space="0"/>
              </w:rPr>
              <w:t>0</w:t>
            </w:r>
          </w:p>
        </w:tc>
        <w:tc>
          <w:tcPr>
            <w:tcW w:w="126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宋体" w:hAnsi="宋体" w:eastAsia="宋体" w:cs="宋体"/>
                <w:color w:val="000000"/>
                <w:sz w:val="19"/>
                <w:szCs w:val="19"/>
                <w:bdr w:val="none" w:color="auto" w:sz="0" w:space="0"/>
              </w:rPr>
              <w:t>0</w:t>
            </w:r>
          </w:p>
        </w:tc>
        <w:tc>
          <w:tcPr>
            <w:tcW w:w="187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宋体" w:hAnsi="宋体" w:eastAsia="宋体" w:cs="宋体"/>
                <w:color w:val="000000"/>
                <w:sz w:val="19"/>
                <w:szCs w:val="19"/>
                <w:bdr w:val="none" w:color="auto" w:sz="0" w:space="0"/>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555" w:hRule="atLeast"/>
        </w:trPr>
        <w:tc>
          <w:tcPr>
            <w:tcW w:w="3120" w:type="dxa"/>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宋体" w:hAnsi="宋体" w:eastAsia="宋体" w:cs="宋体"/>
                <w:color w:val="000000"/>
                <w:sz w:val="19"/>
                <w:szCs w:val="19"/>
                <w:bdr w:val="none" w:color="auto" w:sz="0" w:space="0"/>
              </w:rPr>
              <w:t>其他对外管理服务事项</w:t>
            </w:r>
          </w:p>
        </w:tc>
        <w:tc>
          <w:tcPr>
            <w:tcW w:w="187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宋体" w:hAnsi="宋体" w:eastAsia="宋体" w:cs="宋体"/>
                <w:color w:val="000000"/>
                <w:sz w:val="19"/>
                <w:szCs w:val="19"/>
                <w:bdr w:val="none" w:color="auto" w:sz="0" w:space="0"/>
              </w:rPr>
              <w:t>0</w:t>
            </w:r>
          </w:p>
        </w:tc>
        <w:tc>
          <w:tcPr>
            <w:tcW w:w="126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宋体" w:hAnsi="宋体" w:eastAsia="宋体" w:cs="宋体"/>
                <w:color w:val="000000"/>
                <w:sz w:val="19"/>
                <w:szCs w:val="19"/>
                <w:bdr w:val="none" w:color="auto" w:sz="0" w:space="0"/>
              </w:rPr>
              <w:t>0</w:t>
            </w:r>
          </w:p>
        </w:tc>
        <w:tc>
          <w:tcPr>
            <w:tcW w:w="187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宋体" w:hAnsi="宋体" w:eastAsia="宋体" w:cs="宋体"/>
                <w:color w:val="000000"/>
                <w:sz w:val="19"/>
                <w:szCs w:val="19"/>
                <w:bdr w:val="none" w:color="auto" w:sz="0" w:space="0"/>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405" w:hRule="atLeast"/>
        </w:trPr>
        <w:tc>
          <w:tcPr>
            <w:tcW w:w="8145" w:type="dxa"/>
            <w:gridSpan w:val="4"/>
            <w:tcBorders>
              <w:top w:val="nil"/>
              <w:left w:val="single" w:color="auto" w:sz="6" w:space="0"/>
              <w:bottom w:val="single" w:color="auto" w:sz="6" w:space="0"/>
              <w:right w:val="single" w:color="auto" w:sz="6" w:space="0"/>
            </w:tcBorders>
            <w:shd w:val="clear" w:color="auto" w:fill="C6D9F1"/>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color w:val="000000"/>
                <w:sz w:val="19"/>
                <w:szCs w:val="19"/>
                <w:bdr w:val="none" w:color="auto" w:sz="0" w:space="0"/>
              </w:rPr>
              <w:t>第二十条第（六）项</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630" w:hRule="atLeast"/>
        </w:trPr>
        <w:tc>
          <w:tcPr>
            <w:tcW w:w="3120" w:type="dxa"/>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color w:val="000000"/>
                <w:sz w:val="19"/>
                <w:szCs w:val="19"/>
                <w:bdr w:val="none" w:color="auto" w:sz="0" w:space="0"/>
              </w:rPr>
              <w:t>信息内容</w:t>
            </w:r>
          </w:p>
        </w:tc>
        <w:tc>
          <w:tcPr>
            <w:tcW w:w="1875" w:type="dxa"/>
            <w:tcBorders>
              <w:top w:val="single" w:color="auto" w:sz="6" w:space="0"/>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color w:val="000000"/>
                <w:sz w:val="19"/>
                <w:szCs w:val="19"/>
                <w:bdr w:val="none" w:color="auto" w:sz="0" w:space="0"/>
              </w:rPr>
              <w:t>上一年项目数量</w:t>
            </w:r>
          </w:p>
        </w:tc>
        <w:tc>
          <w:tcPr>
            <w:tcW w:w="1275" w:type="dxa"/>
            <w:tcBorders>
              <w:top w:val="single" w:color="auto" w:sz="6" w:space="0"/>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color w:val="000000"/>
                <w:sz w:val="19"/>
                <w:szCs w:val="19"/>
                <w:bdr w:val="none" w:color="auto" w:sz="0" w:space="0"/>
              </w:rPr>
              <w:t>本年增/减</w:t>
            </w:r>
          </w:p>
        </w:tc>
        <w:tc>
          <w:tcPr>
            <w:tcW w:w="187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color w:val="000000"/>
                <w:sz w:val="19"/>
                <w:szCs w:val="19"/>
                <w:bdr w:val="none" w:color="auto" w:sz="0" w:space="0"/>
              </w:rPr>
              <w:t>处理决定数量</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435" w:hRule="atLeast"/>
        </w:trPr>
        <w:tc>
          <w:tcPr>
            <w:tcW w:w="3120" w:type="dxa"/>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宋体" w:hAnsi="宋体" w:eastAsia="宋体" w:cs="宋体"/>
                <w:color w:val="000000"/>
                <w:sz w:val="19"/>
                <w:szCs w:val="19"/>
                <w:bdr w:val="none" w:color="auto" w:sz="0" w:space="0"/>
              </w:rPr>
              <w:t>行政处罚</w:t>
            </w:r>
          </w:p>
        </w:tc>
        <w:tc>
          <w:tcPr>
            <w:tcW w:w="187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宋体" w:hAnsi="宋体" w:eastAsia="宋体" w:cs="宋体"/>
                <w:color w:val="000000"/>
                <w:sz w:val="19"/>
                <w:szCs w:val="19"/>
                <w:bdr w:val="none" w:color="auto" w:sz="0" w:space="0"/>
              </w:rPr>
              <w:t>175</w:t>
            </w:r>
          </w:p>
        </w:tc>
        <w:tc>
          <w:tcPr>
            <w:tcW w:w="126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宋体" w:hAnsi="宋体" w:eastAsia="宋体" w:cs="宋体"/>
                <w:color w:val="000000"/>
                <w:sz w:val="19"/>
                <w:szCs w:val="19"/>
                <w:bdr w:val="none" w:color="auto" w:sz="0" w:space="0"/>
              </w:rPr>
              <w:t>减62</w:t>
            </w:r>
          </w:p>
        </w:tc>
        <w:tc>
          <w:tcPr>
            <w:tcW w:w="187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宋体" w:hAnsi="宋体" w:eastAsia="宋体" w:cs="宋体"/>
                <w:color w:val="000000"/>
                <w:sz w:val="19"/>
                <w:szCs w:val="19"/>
                <w:bdr w:val="none" w:color="auto" w:sz="0" w:space="0"/>
              </w:rPr>
              <w:t>107</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405" w:hRule="atLeast"/>
        </w:trPr>
        <w:tc>
          <w:tcPr>
            <w:tcW w:w="3120" w:type="dxa"/>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宋体" w:hAnsi="宋体" w:eastAsia="宋体" w:cs="宋体"/>
                <w:color w:val="000000"/>
                <w:sz w:val="19"/>
                <w:szCs w:val="19"/>
                <w:bdr w:val="none" w:color="auto" w:sz="0" w:space="0"/>
              </w:rPr>
              <w:t>行政强制</w:t>
            </w:r>
          </w:p>
        </w:tc>
        <w:tc>
          <w:tcPr>
            <w:tcW w:w="187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宋体" w:hAnsi="宋体" w:eastAsia="宋体" w:cs="宋体"/>
                <w:color w:val="000000"/>
                <w:sz w:val="19"/>
                <w:szCs w:val="19"/>
                <w:bdr w:val="none" w:color="auto" w:sz="0" w:space="0"/>
              </w:rPr>
              <w:t>0</w:t>
            </w:r>
          </w:p>
        </w:tc>
        <w:tc>
          <w:tcPr>
            <w:tcW w:w="126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宋体" w:hAnsi="宋体" w:eastAsia="宋体" w:cs="宋体"/>
                <w:color w:val="000000"/>
                <w:sz w:val="19"/>
                <w:szCs w:val="19"/>
                <w:bdr w:val="none" w:color="auto" w:sz="0" w:space="0"/>
              </w:rPr>
              <w:t>0</w:t>
            </w:r>
          </w:p>
        </w:tc>
        <w:tc>
          <w:tcPr>
            <w:tcW w:w="187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宋体" w:hAnsi="宋体" w:eastAsia="宋体" w:cs="宋体"/>
                <w:color w:val="000000"/>
                <w:sz w:val="19"/>
                <w:szCs w:val="19"/>
                <w:bdr w:val="none" w:color="auto" w:sz="0" w:space="0"/>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480" w:hRule="atLeast"/>
        </w:trPr>
        <w:tc>
          <w:tcPr>
            <w:tcW w:w="8145" w:type="dxa"/>
            <w:gridSpan w:val="4"/>
            <w:tcBorders>
              <w:top w:val="nil"/>
              <w:left w:val="single" w:color="auto" w:sz="6" w:space="0"/>
              <w:bottom w:val="single" w:color="auto" w:sz="6" w:space="0"/>
              <w:right w:val="single" w:color="auto" w:sz="6" w:space="0"/>
            </w:tcBorders>
            <w:shd w:val="clear" w:color="auto" w:fill="C6D9F1"/>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color w:val="000000"/>
                <w:sz w:val="19"/>
                <w:szCs w:val="19"/>
                <w:bdr w:val="none" w:color="auto" w:sz="0" w:space="0"/>
              </w:rPr>
              <w:t>第二十条第（八）项</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270" w:hRule="atLeast"/>
        </w:trPr>
        <w:tc>
          <w:tcPr>
            <w:tcW w:w="3120" w:type="dxa"/>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color w:val="000000"/>
                <w:sz w:val="19"/>
                <w:szCs w:val="19"/>
                <w:bdr w:val="none" w:color="auto" w:sz="0" w:space="0"/>
              </w:rPr>
              <w:t>信息内容</w:t>
            </w:r>
          </w:p>
        </w:tc>
        <w:tc>
          <w:tcPr>
            <w:tcW w:w="187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宋体" w:hAnsi="宋体" w:eastAsia="宋体" w:cs="宋体"/>
                <w:color w:val="000000"/>
                <w:sz w:val="19"/>
                <w:szCs w:val="19"/>
                <w:bdr w:val="none" w:color="auto" w:sz="0" w:space="0"/>
              </w:rPr>
              <w:t>上一年项目数量</w:t>
            </w:r>
          </w:p>
        </w:tc>
        <w:tc>
          <w:tcPr>
            <w:tcW w:w="3150" w:type="dxa"/>
            <w:gridSpan w:val="2"/>
            <w:tcBorders>
              <w:top w:val="single" w:color="auto" w:sz="6" w:space="0"/>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color w:val="000000"/>
                <w:sz w:val="19"/>
                <w:szCs w:val="19"/>
                <w:bdr w:val="none" w:color="auto" w:sz="0" w:space="0"/>
              </w:rPr>
              <w:t>本年增/减</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555" w:hRule="atLeast"/>
        </w:trPr>
        <w:tc>
          <w:tcPr>
            <w:tcW w:w="3120" w:type="dxa"/>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宋体" w:hAnsi="宋体" w:eastAsia="宋体" w:cs="宋体"/>
                <w:color w:val="000000"/>
                <w:sz w:val="19"/>
                <w:szCs w:val="19"/>
                <w:bdr w:val="none" w:color="auto" w:sz="0" w:space="0"/>
              </w:rPr>
              <w:t>行政事业性收费</w:t>
            </w:r>
          </w:p>
        </w:tc>
        <w:tc>
          <w:tcPr>
            <w:tcW w:w="187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宋体" w:hAnsi="宋体" w:eastAsia="宋体" w:cs="宋体"/>
                <w:color w:val="000000"/>
                <w:sz w:val="19"/>
                <w:szCs w:val="19"/>
                <w:bdr w:val="none" w:color="auto" w:sz="0" w:space="0"/>
              </w:rPr>
              <w:t>0</w:t>
            </w:r>
          </w:p>
        </w:tc>
        <w:tc>
          <w:tcPr>
            <w:tcW w:w="3150" w:type="dxa"/>
            <w:gridSpan w:val="2"/>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color w:val="000000"/>
                <w:sz w:val="19"/>
                <w:szCs w:val="19"/>
                <w:bdr w:val="none" w:color="auto" w:sz="0" w:space="0"/>
              </w:rPr>
              <w:t>0 </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480" w:hRule="atLeast"/>
        </w:trPr>
        <w:tc>
          <w:tcPr>
            <w:tcW w:w="8145" w:type="dxa"/>
            <w:gridSpan w:val="4"/>
            <w:tcBorders>
              <w:top w:val="nil"/>
              <w:left w:val="single" w:color="auto" w:sz="6" w:space="0"/>
              <w:bottom w:val="single" w:color="auto" w:sz="6" w:space="0"/>
              <w:right w:val="single" w:color="auto" w:sz="6" w:space="0"/>
            </w:tcBorders>
            <w:shd w:val="clear" w:color="auto" w:fill="C6D9F1"/>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color w:val="000000"/>
                <w:sz w:val="19"/>
                <w:szCs w:val="19"/>
                <w:bdr w:val="none" w:color="auto" w:sz="0" w:space="0"/>
              </w:rPr>
              <w:t>第二十条第（九）项</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585" w:hRule="atLeast"/>
        </w:trPr>
        <w:tc>
          <w:tcPr>
            <w:tcW w:w="3120" w:type="dxa"/>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color w:val="000000"/>
                <w:sz w:val="19"/>
                <w:szCs w:val="19"/>
                <w:bdr w:val="none" w:color="auto" w:sz="0" w:space="0"/>
              </w:rPr>
              <w:t>信息内容</w:t>
            </w:r>
          </w:p>
        </w:tc>
        <w:tc>
          <w:tcPr>
            <w:tcW w:w="187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color w:val="000000"/>
                <w:sz w:val="19"/>
                <w:szCs w:val="19"/>
                <w:bdr w:val="none" w:color="auto" w:sz="0" w:space="0"/>
              </w:rPr>
              <w:t>采购项目数量</w:t>
            </w:r>
          </w:p>
        </w:tc>
        <w:tc>
          <w:tcPr>
            <w:tcW w:w="3150" w:type="dxa"/>
            <w:gridSpan w:val="2"/>
            <w:tcBorders>
              <w:top w:val="single" w:color="auto" w:sz="6" w:space="0"/>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color w:val="000000"/>
                <w:sz w:val="19"/>
                <w:szCs w:val="19"/>
                <w:bdr w:val="none" w:color="auto" w:sz="0" w:space="0"/>
              </w:rPr>
              <w:t>采购总金额</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540" w:hRule="atLeast"/>
        </w:trPr>
        <w:tc>
          <w:tcPr>
            <w:tcW w:w="3120" w:type="dxa"/>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宋体" w:hAnsi="宋体" w:eastAsia="宋体" w:cs="宋体"/>
                <w:color w:val="000000"/>
                <w:sz w:val="19"/>
                <w:szCs w:val="19"/>
                <w:bdr w:val="none" w:color="auto" w:sz="0" w:space="0"/>
              </w:rPr>
              <w:t>政府集中采购</w:t>
            </w:r>
          </w:p>
        </w:tc>
        <w:tc>
          <w:tcPr>
            <w:tcW w:w="187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宋体" w:hAnsi="宋体" w:eastAsia="宋体" w:cs="宋体"/>
                <w:color w:val="000000"/>
                <w:sz w:val="19"/>
                <w:szCs w:val="19"/>
                <w:bdr w:val="none" w:color="auto" w:sz="0" w:space="0"/>
              </w:rPr>
              <w:t>0</w:t>
            </w:r>
          </w:p>
        </w:tc>
        <w:tc>
          <w:tcPr>
            <w:tcW w:w="3150" w:type="dxa"/>
            <w:gridSpan w:val="2"/>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宋体" w:hAnsi="宋体" w:eastAsia="宋体" w:cs="宋体"/>
                <w:sz w:val="24"/>
                <w:szCs w:val="24"/>
                <w:bdr w:val="none" w:color="auto" w:sz="0" w:space="0"/>
              </w:rPr>
              <w:t>0</w:t>
            </w:r>
          </w:p>
        </w:tc>
      </w:tr>
    </w:tbl>
    <w:p>
      <w:pPr>
        <w:pStyle w:val="6"/>
        <w:keepNext w:val="0"/>
        <w:keepLines w:val="0"/>
        <w:widowControl/>
        <w:suppressLineNumbers w:val="0"/>
        <w:spacing w:line="420" w:lineRule="atLeast"/>
        <w:ind w:left="0" w:firstLine="420"/>
        <w:jc w:val="left"/>
      </w:pPr>
      <w:r>
        <w:rPr>
          <w:rFonts w:hint="eastAsia" w:ascii="黑体" w:hAnsi="宋体" w:eastAsia="黑体" w:cs="黑体"/>
          <w:color w:val="000000"/>
          <w:sz w:val="31"/>
          <w:szCs w:val="31"/>
        </w:rPr>
        <w:t>三、收到和处理政府信息公开申请情况</w:t>
      </w:r>
    </w:p>
    <w:tbl>
      <w:tblPr>
        <w:tblW w:w="0" w:type="auto"/>
        <w:tblInd w:w="0" w:type="dxa"/>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950"/>
        <w:gridCol w:w="1140"/>
        <w:gridCol w:w="1003"/>
        <w:gridCol w:w="760"/>
        <w:gridCol w:w="760"/>
        <w:gridCol w:w="760"/>
        <w:gridCol w:w="780"/>
        <w:gridCol w:w="783"/>
        <w:gridCol w:w="760"/>
        <w:gridCol w:w="760"/>
      </w:tblGrid>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rPr>
          <w:trHeight w:val="345" w:hRule="atLeast"/>
        </w:trPr>
        <w:tc>
          <w:tcPr>
            <w:tcW w:w="3705" w:type="dxa"/>
            <w:gridSpan w:val="3"/>
            <w:vMerge w:val="restart"/>
            <w:tcBorders>
              <w:top w:val="single" w:color="auto" w:sz="6" w:space="0"/>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（本列数据的勾稽关系为：第一项加第二项之和，等于第三项加第四项之和）</w:t>
            </w:r>
          </w:p>
        </w:tc>
        <w:tc>
          <w:tcPr>
            <w:tcW w:w="5430" w:type="dxa"/>
            <w:gridSpan w:val="7"/>
            <w:tcBorders>
              <w:top w:val="single" w:color="auto" w:sz="6" w:space="0"/>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申请人情况</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3705" w:type="dxa"/>
            <w:gridSpan w:val="3"/>
            <w:vMerge w:val="continue"/>
            <w:tcBorders>
              <w:top w:val="single" w:color="auto" w:sz="6" w:space="0"/>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720" w:type="dxa"/>
            <w:vMerge w:val="restart"/>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自然人</w:t>
            </w:r>
          </w:p>
        </w:tc>
        <w:tc>
          <w:tcPr>
            <w:tcW w:w="4005" w:type="dxa"/>
            <w:gridSpan w:val="5"/>
            <w:tcBorders>
              <w:top w:val="single" w:color="auto" w:sz="6" w:space="0"/>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法人或其他组织</w:t>
            </w:r>
          </w:p>
        </w:tc>
        <w:tc>
          <w:tcPr>
            <w:tcW w:w="690" w:type="dxa"/>
            <w:vMerge w:val="restart"/>
            <w:tcBorders>
              <w:top w:val="single" w:color="auto" w:sz="6" w:space="0"/>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总计</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690" w:hRule="atLeast"/>
        </w:trPr>
        <w:tc>
          <w:tcPr>
            <w:tcW w:w="3705" w:type="dxa"/>
            <w:gridSpan w:val="3"/>
            <w:vMerge w:val="continue"/>
            <w:tcBorders>
              <w:top w:val="single" w:color="auto" w:sz="6" w:space="0"/>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720" w:type="dxa"/>
            <w:vMerge w:val="continue"/>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商业企业</w:t>
            </w: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科研机构</w:t>
            </w:r>
          </w:p>
        </w:tc>
        <w:tc>
          <w:tcPr>
            <w:tcW w:w="885" w:type="dxa"/>
            <w:tcBorders>
              <w:top w:val="single" w:color="auto" w:sz="6" w:space="0"/>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社会公益组织</w:t>
            </w:r>
          </w:p>
        </w:tc>
        <w:tc>
          <w:tcPr>
            <w:tcW w:w="900" w:type="dxa"/>
            <w:tcBorders>
              <w:top w:val="single" w:color="auto" w:sz="6" w:space="0"/>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法律服务机构</w:t>
            </w:r>
          </w:p>
        </w:tc>
        <w:tc>
          <w:tcPr>
            <w:tcW w:w="705" w:type="dxa"/>
            <w:tcBorders>
              <w:top w:val="single" w:color="auto" w:sz="6" w:space="0"/>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其他</w:t>
            </w:r>
          </w:p>
        </w:tc>
        <w:tc>
          <w:tcPr>
            <w:tcW w:w="690" w:type="dxa"/>
            <w:vMerge w:val="continue"/>
            <w:tcBorders>
              <w:top w:val="single" w:color="auto" w:sz="6" w:space="0"/>
              <w:left w:val="nil"/>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345" w:hRule="atLeast"/>
        </w:trPr>
        <w:tc>
          <w:tcPr>
            <w:tcW w:w="3705" w:type="dxa"/>
            <w:gridSpan w:val="3"/>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宋体" w:hAnsi="宋体" w:eastAsia="宋体" w:cs="宋体"/>
                <w:sz w:val="19"/>
                <w:szCs w:val="19"/>
                <w:bdr w:val="none" w:color="auto" w:sz="0" w:space="0"/>
              </w:rPr>
              <w:t>一、本年新收政府信息公开申请数量</w:t>
            </w:r>
          </w:p>
        </w:tc>
        <w:tc>
          <w:tcPr>
            <w:tcW w:w="72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88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90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0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69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345" w:hRule="atLeast"/>
        </w:trPr>
        <w:tc>
          <w:tcPr>
            <w:tcW w:w="3705" w:type="dxa"/>
            <w:gridSpan w:val="3"/>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宋体" w:hAnsi="宋体" w:eastAsia="宋体" w:cs="宋体"/>
                <w:sz w:val="19"/>
                <w:szCs w:val="19"/>
                <w:bdr w:val="none" w:color="auto" w:sz="0" w:space="0"/>
              </w:rPr>
              <w:t>二、上年结转政府信息公开申请数量</w:t>
            </w:r>
          </w:p>
        </w:tc>
        <w:tc>
          <w:tcPr>
            <w:tcW w:w="72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88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90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0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69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345" w:hRule="atLeast"/>
        </w:trPr>
        <w:tc>
          <w:tcPr>
            <w:tcW w:w="615" w:type="dxa"/>
            <w:vMerge w:val="restart"/>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三、本年度办理结果</w:t>
            </w:r>
          </w:p>
        </w:tc>
        <w:tc>
          <w:tcPr>
            <w:tcW w:w="3090" w:type="dxa"/>
            <w:gridSpan w:val="2"/>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ascii="楷体" w:hAnsi="楷体" w:eastAsia="楷体" w:cs="楷体"/>
                <w:sz w:val="19"/>
                <w:szCs w:val="19"/>
                <w:bdr w:val="none" w:color="auto" w:sz="0" w:space="0"/>
              </w:rPr>
              <w:t>（一）予以公开</w:t>
            </w:r>
          </w:p>
        </w:tc>
        <w:tc>
          <w:tcPr>
            <w:tcW w:w="72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88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90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0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690" w:type="dxa"/>
            <w:tcBorders>
              <w:top w:val="single" w:color="auto" w:sz="6" w:space="0"/>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705" w:hRule="atLeast"/>
        </w:trPr>
        <w:tc>
          <w:tcPr>
            <w:tcW w:w="615" w:type="dxa"/>
            <w:vMerge w:val="continue"/>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3090" w:type="dxa"/>
            <w:gridSpan w:val="2"/>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楷体" w:hAnsi="楷体" w:eastAsia="楷体" w:cs="楷体"/>
                <w:sz w:val="19"/>
                <w:szCs w:val="19"/>
                <w:bdr w:val="none" w:color="auto" w:sz="0" w:space="0"/>
              </w:rPr>
              <w:t>（二）部分公开（区分处理的，只计这一情形，不计其他情形）</w:t>
            </w:r>
          </w:p>
        </w:tc>
        <w:tc>
          <w:tcPr>
            <w:tcW w:w="72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88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90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0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69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0</w:t>
            </w:r>
            <w:r>
              <w:rPr>
                <w:rFonts w:ascii="Calibri" w:hAnsi="Calibri" w:cs="Calibri"/>
                <w:sz w:val="19"/>
                <w:szCs w:val="19"/>
                <w:bdr w:val="none" w:color="auto" w:sz="0" w:space="0"/>
              </w:rPr>
              <w:t> </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615" w:type="dxa"/>
            <w:vMerge w:val="continue"/>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825" w:type="dxa"/>
            <w:vMerge w:val="restart"/>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楷体" w:hAnsi="楷体" w:eastAsia="楷体" w:cs="楷体"/>
                <w:sz w:val="19"/>
                <w:szCs w:val="19"/>
                <w:bdr w:val="none" w:color="auto" w:sz="0" w:space="0"/>
              </w:rPr>
              <w:t>（三）不予公开</w:t>
            </w:r>
          </w:p>
        </w:tc>
        <w:tc>
          <w:tcPr>
            <w:tcW w:w="226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楷体" w:hAnsi="楷体" w:eastAsia="楷体" w:cs="楷体"/>
                <w:sz w:val="19"/>
                <w:szCs w:val="19"/>
                <w:bdr w:val="none" w:color="auto" w:sz="0" w:space="0"/>
              </w:rPr>
              <w:t>1.属于国家秘密</w:t>
            </w:r>
          </w:p>
        </w:tc>
        <w:tc>
          <w:tcPr>
            <w:tcW w:w="72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88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90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0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690" w:type="dxa"/>
            <w:tcBorders>
              <w:top w:val="single" w:color="auto" w:sz="6" w:space="0"/>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690" w:hRule="atLeast"/>
        </w:trPr>
        <w:tc>
          <w:tcPr>
            <w:tcW w:w="615" w:type="dxa"/>
            <w:vMerge w:val="continue"/>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825" w:type="dxa"/>
            <w:vMerge w:val="continue"/>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226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楷体" w:hAnsi="楷体" w:eastAsia="楷体" w:cs="楷体"/>
                <w:sz w:val="19"/>
                <w:szCs w:val="19"/>
                <w:bdr w:val="none" w:color="auto" w:sz="0" w:space="0"/>
              </w:rPr>
              <w:t>2.其他法律行政法规禁止公开</w:t>
            </w:r>
          </w:p>
        </w:tc>
        <w:tc>
          <w:tcPr>
            <w:tcW w:w="72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88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90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0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69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0</w:t>
            </w:r>
            <w:r>
              <w:rPr>
                <w:rFonts w:hint="default" w:ascii="Calibri" w:hAnsi="Calibri" w:cs="Calibri"/>
                <w:sz w:val="19"/>
                <w:szCs w:val="19"/>
                <w:bdr w:val="none" w:color="auto" w:sz="0" w:space="0"/>
              </w:rPr>
              <w:t> </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615" w:type="dxa"/>
            <w:vMerge w:val="continue"/>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825" w:type="dxa"/>
            <w:vMerge w:val="continue"/>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226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楷体" w:hAnsi="楷体" w:eastAsia="楷体" w:cs="楷体"/>
                <w:sz w:val="19"/>
                <w:szCs w:val="19"/>
                <w:bdr w:val="none" w:color="auto" w:sz="0" w:space="0"/>
              </w:rPr>
              <w:t>3.危及“三安全一稳定”</w:t>
            </w:r>
          </w:p>
        </w:tc>
        <w:tc>
          <w:tcPr>
            <w:tcW w:w="72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88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90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0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69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0</w:t>
            </w:r>
            <w:r>
              <w:rPr>
                <w:rFonts w:hint="default" w:ascii="Calibri" w:hAnsi="Calibri" w:cs="Calibri"/>
                <w:sz w:val="19"/>
                <w:szCs w:val="19"/>
                <w:bdr w:val="none" w:color="auto" w:sz="0" w:space="0"/>
              </w:rPr>
              <w:t> </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345" w:hRule="atLeast"/>
        </w:trPr>
        <w:tc>
          <w:tcPr>
            <w:tcW w:w="615" w:type="dxa"/>
            <w:vMerge w:val="continue"/>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825" w:type="dxa"/>
            <w:vMerge w:val="continue"/>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226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楷体" w:hAnsi="楷体" w:eastAsia="楷体" w:cs="楷体"/>
                <w:sz w:val="19"/>
                <w:szCs w:val="19"/>
                <w:bdr w:val="none" w:color="auto" w:sz="0" w:space="0"/>
              </w:rPr>
              <w:t>4.保护第三方合法权益</w:t>
            </w:r>
          </w:p>
        </w:tc>
        <w:tc>
          <w:tcPr>
            <w:tcW w:w="72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88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90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0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69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690" w:hRule="atLeast"/>
        </w:trPr>
        <w:tc>
          <w:tcPr>
            <w:tcW w:w="615" w:type="dxa"/>
            <w:vMerge w:val="continue"/>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825" w:type="dxa"/>
            <w:vMerge w:val="continue"/>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226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楷体" w:hAnsi="楷体" w:eastAsia="楷体" w:cs="楷体"/>
                <w:sz w:val="19"/>
                <w:szCs w:val="19"/>
                <w:bdr w:val="none" w:color="auto" w:sz="0" w:space="0"/>
              </w:rPr>
              <w:t>5.属于三类内部事务信息</w:t>
            </w:r>
          </w:p>
        </w:tc>
        <w:tc>
          <w:tcPr>
            <w:tcW w:w="72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88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90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0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69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615" w:type="dxa"/>
            <w:vMerge w:val="continue"/>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825" w:type="dxa"/>
            <w:vMerge w:val="continue"/>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226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楷体" w:hAnsi="楷体" w:eastAsia="楷体" w:cs="楷体"/>
                <w:sz w:val="19"/>
                <w:szCs w:val="19"/>
                <w:bdr w:val="none" w:color="auto" w:sz="0" w:space="0"/>
              </w:rPr>
              <w:t>6.属于四类过程性信息</w:t>
            </w:r>
          </w:p>
        </w:tc>
        <w:tc>
          <w:tcPr>
            <w:tcW w:w="72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88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90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0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69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345" w:hRule="atLeast"/>
        </w:trPr>
        <w:tc>
          <w:tcPr>
            <w:tcW w:w="615" w:type="dxa"/>
            <w:vMerge w:val="continue"/>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825" w:type="dxa"/>
            <w:vMerge w:val="continue"/>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226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楷体" w:hAnsi="楷体" w:eastAsia="楷体" w:cs="楷体"/>
                <w:sz w:val="19"/>
                <w:szCs w:val="19"/>
                <w:bdr w:val="none" w:color="auto" w:sz="0" w:space="0"/>
              </w:rPr>
              <w:t>7.属于行政执法案卷</w:t>
            </w:r>
          </w:p>
        </w:tc>
        <w:tc>
          <w:tcPr>
            <w:tcW w:w="72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88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90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0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69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615" w:type="dxa"/>
            <w:vMerge w:val="continue"/>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825" w:type="dxa"/>
            <w:vMerge w:val="continue"/>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226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楷体" w:hAnsi="楷体" w:eastAsia="楷体" w:cs="楷体"/>
                <w:sz w:val="19"/>
                <w:szCs w:val="19"/>
                <w:bdr w:val="none" w:color="auto" w:sz="0" w:space="0"/>
              </w:rPr>
              <w:t>8.属于行政查询事项</w:t>
            </w:r>
          </w:p>
        </w:tc>
        <w:tc>
          <w:tcPr>
            <w:tcW w:w="72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88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90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0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69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0</w:t>
            </w:r>
            <w:r>
              <w:rPr>
                <w:rFonts w:hint="default" w:ascii="Calibri" w:hAnsi="Calibri" w:cs="Calibri"/>
                <w:sz w:val="19"/>
                <w:szCs w:val="19"/>
                <w:bdr w:val="none" w:color="auto" w:sz="0" w:space="0"/>
              </w:rPr>
              <w:t> </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705" w:hRule="atLeast"/>
        </w:trPr>
        <w:tc>
          <w:tcPr>
            <w:tcW w:w="615" w:type="dxa"/>
            <w:vMerge w:val="continue"/>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825" w:type="dxa"/>
            <w:vMerge w:val="restart"/>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楷体" w:hAnsi="楷体" w:eastAsia="楷体" w:cs="楷体"/>
                <w:sz w:val="19"/>
                <w:szCs w:val="19"/>
                <w:bdr w:val="none" w:color="auto" w:sz="0" w:space="0"/>
              </w:rPr>
              <w:t>（四）无法提供</w:t>
            </w:r>
          </w:p>
        </w:tc>
        <w:tc>
          <w:tcPr>
            <w:tcW w:w="226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楷体" w:hAnsi="楷体" w:eastAsia="楷体" w:cs="楷体"/>
                <w:sz w:val="19"/>
                <w:szCs w:val="19"/>
                <w:bdr w:val="none" w:color="auto" w:sz="0" w:space="0"/>
              </w:rPr>
              <w:t>1.本机关不掌握相关政府信息</w:t>
            </w:r>
          </w:p>
        </w:tc>
        <w:tc>
          <w:tcPr>
            <w:tcW w:w="72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88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90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0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69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0</w:t>
            </w:r>
            <w:r>
              <w:rPr>
                <w:rFonts w:hint="default" w:ascii="Calibri" w:hAnsi="Calibri" w:cs="Calibri"/>
                <w:sz w:val="19"/>
                <w:szCs w:val="19"/>
                <w:bdr w:val="none" w:color="auto" w:sz="0" w:space="0"/>
              </w:rPr>
              <w:t> </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690" w:hRule="atLeast"/>
        </w:trPr>
        <w:tc>
          <w:tcPr>
            <w:tcW w:w="615" w:type="dxa"/>
            <w:vMerge w:val="continue"/>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825" w:type="dxa"/>
            <w:vMerge w:val="continue"/>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226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楷体" w:hAnsi="楷体" w:eastAsia="楷体" w:cs="楷体"/>
                <w:sz w:val="19"/>
                <w:szCs w:val="19"/>
                <w:bdr w:val="none" w:color="auto" w:sz="0" w:space="0"/>
              </w:rPr>
              <w:t>2.没有现成信息需要另行制作</w:t>
            </w:r>
          </w:p>
        </w:tc>
        <w:tc>
          <w:tcPr>
            <w:tcW w:w="72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88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90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0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69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705" w:hRule="atLeast"/>
        </w:trPr>
        <w:tc>
          <w:tcPr>
            <w:tcW w:w="615" w:type="dxa"/>
            <w:vMerge w:val="continue"/>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825" w:type="dxa"/>
            <w:vMerge w:val="continue"/>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226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楷体" w:hAnsi="楷体" w:eastAsia="楷体" w:cs="楷体"/>
                <w:sz w:val="19"/>
                <w:szCs w:val="19"/>
                <w:bdr w:val="none" w:color="auto" w:sz="0" w:space="0"/>
              </w:rPr>
              <w:t>3.补正后申请内容仍不明确</w:t>
            </w:r>
          </w:p>
        </w:tc>
        <w:tc>
          <w:tcPr>
            <w:tcW w:w="72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88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90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0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69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345" w:hRule="atLeast"/>
        </w:trPr>
        <w:tc>
          <w:tcPr>
            <w:tcW w:w="615" w:type="dxa"/>
            <w:vMerge w:val="continue"/>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825" w:type="dxa"/>
            <w:vMerge w:val="restart"/>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楷体" w:hAnsi="楷体" w:eastAsia="楷体" w:cs="楷体"/>
                <w:sz w:val="19"/>
                <w:szCs w:val="19"/>
                <w:bdr w:val="none" w:color="auto" w:sz="0" w:space="0"/>
              </w:rPr>
              <w:t>（五）不予处理</w:t>
            </w:r>
          </w:p>
        </w:tc>
        <w:tc>
          <w:tcPr>
            <w:tcW w:w="226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楷体" w:hAnsi="楷体" w:eastAsia="楷体" w:cs="楷体"/>
                <w:sz w:val="19"/>
                <w:szCs w:val="19"/>
                <w:bdr w:val="none" w:color="auto" w:sz="0" w:space="0"/>
              </w:rPr>
              <w:t>1.信访举报投诉类申请</w:t>
            </w:r>
          </w:p>
        </w:tc>
        <w:tc>
          <w:tcPr>
            <w:tcW w:w="72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88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90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0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69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615" w:type="dxa"/>
            <w:vMerge w:val="continue"/>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825" w:type="dxa"/>
            <w:vMerge w:val="continue"/>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226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楷体" w:hAnsi="楷体" w:eastAsia="楷体" w:cs="楷体"/>
                <w:sz w:val="19"/>
                <w:szCs w:val="19"/>
                <w:bdr w:val="none" w:color="auto" w:sz="0" w:space="0"/>
              </w:rPr>
              <w:t>2.重复申请</w:t>
            </w:r>
          </w:p>
        </w:tc>
        <w:tc>
          <w:tcPr>
            <w:tcW w:w="72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88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90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0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69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615" w:type="dxa"/>
            <w:vMerge w:val="continue"/>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825" w:type="dxa"/>
            <w:vMerge w:val="continue"/>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226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楷体" w:hAnsi="楷体" w:eastAsia="楷体" w:cs="楷体"/>
                <w:sz w:val="19"/>
                <w:szCs w:val="19"/>
                <w:bdr w:val="none" w:color="auto" w:sz="0" w:space="0"/>
              </w:rPr>
              <w:t>3.要求提供公开出版物</w:t>
            </w:r>
          </w:p>
        </w:tc>
        <w:tc>
          <w:tcPr>
            <w:tcW w:w="72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88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90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0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69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0</w:t>
            </w:r>
            <w:r>
              <w:rPr>
                <w:rFonts w:hint="default" w:ascii="Calibri" w:hAnsi="Calibri" w:cs="Calibri"/>
                <w:sz w:val="19"/>
                <w:szCs w:val="19"/>
                <w:bdr w:val="none" w:color="auto" w:sz="0" w:space="0"/>
              </w:rPr>
              <w:t> </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705" w:hRule="atLeast"/>
        </w:trPr>
        <w:tc>
          <w:tcPr>
            <w:tcW w:w="615" w:type="dxa"/>
            <w:vMerge w:val="continue"/>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825" w:type="dxa"/>
            <w:vMerge w:val="continue"/>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226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楷体" w:hAnsi="楷体" w:eastAsia="楷体" w:cs="楷体"/>
                <w:sz w:val="19"/>
                <w:szCs w:val="19"/>
                <w:bdr w:val="none" w:color="auto" w:sz="0" w:space="0"/>
              </w:rPr>
              <w:t>4.无正当理由大量反复申请</w:t>
            </w:r>
          </w:p>
        </w:tc>
        <w:tc>
          <w:tcPr>
            <w:tcW w:w="72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88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90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0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69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0</w:t>
            </w:r>
            <w:r>
              <w:rPr>
                <w:rFonts w:hint="default" w:ascii="Calibri" w:hAnsi="Calibri" w:cs="Calibri"/>
                <w:sz w:val="19"/>
                <w:szCs w:val="19"/>
                <w:bdr w:val="none" w:color="auto" w:sz="0" w:space="0"/>
              </w:rPr>
              <w:t> </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690" w:hRule="atLeast"/>
        </w:trPr>
        <w:tc>
          <w:tcPr>
            <w:tcW w:w="615" w:type="dxa"/>
            <w:vMerge w:val="continue"/>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825" w:type="dxa"/>
            <w:vMerge w:val="continue"/>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226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楷体" w:hAnsi="楷体" w:eastAsia="楷体" w:cs="楷体"/>
                <w:sz w:val="19"/>
                <w:szCs w:val="19"/>
                <w:bdr w:val="none" w:color="auto" w:sz="0" w:space="0"/>
              </w:rPr>
              <w:t>5.要求行政机关确认或重新出具已获取信息</w:t>
            </w:r>
          </w:p>
        </w:tc>
        <w:tc>
          <w:tcPr>
            <w:tcW w:w="72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88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90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0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69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615" w:type="dxa"/>
            <w:vMerge w:val="continue"/>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3090" w:type="dxa"/>
            <w:gridSpan w:val="2"/>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楷体" w:hAnsi="楷体" w:eastAsia="楷体" w:cs="楷体"/>
                <w:sz w:val="19"/>
                <w:szCs w:val="19"/>
                <w:bdr w:val="none" w:color="auto" w:sz="0" w:space="0"/>
              </w:rPr>
              <w:t>（六）其他处理</w:t>
            </w:r>
          </w:p>
        </w:tc>
        <w:tc>
          <w:tcPr>
            <w:tcW w:w="72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88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90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0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69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615" w:type="dxa"/>
            <w:vMerge w:val="continue"/>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3090" w:type="dxa"/>
            <w:gridSpan w:val="2"/>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楷体" w:hAnsi="楷体" w:eastAsia="楷体" w:cs="楷体"/>
                <w:sz w:val="19"/>
                <w:szCs w:val="19"/>
                <w:bdr w:val="none" w:color="auto" w:sz="0" w:space="0"/>
              </w:rPr>
              <w:t>（七）总计</w:t>
            </w:r>
          </w:p>
        </w:tc>
        <w:tc>
          <w:tcPr>
            <w:tcW w:w="72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88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90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0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69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480" w:hRule="atLeast"/>
        </w:trPr>
        <w:tc>
          <w:tcPr>
            <w:tcW w:w="3705" w:type="dxa"/>
            <w:gridSpan w:val="3"/>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宋体" w:hAnsi="宋体" w:eastAsia="宋体" w:cs="宋体"/>
                <w:color w:val="000000"/>
                <w:sz w:val="19"/>
                <w:szCs w:val="19"/>
                <w:bdr w:val="none" w:color="auto" w:sz="0" w:space="0"/>
              </w:rPr>
              <w:t>四、结转下年度继续办理</w:t>
            </w:r>
          </w:p>
        </w:tc>
        <w:tc>
          <w:tcPr>
            <w:tcW w:w="72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5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88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90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70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69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left"/>
            </w:pPr>
            <w:r>
              <w:rPr>
                <w:rFonts w:hint="eastAsia" w:ascii="宋体" w:hAnsi="宋体" w:eastAsia="宋体" w:cs="宋体"/>
                <w:color w:val="000000"/>
                <w:sz w:val="19"/>
                <w:szCs w:val="19"/>
                <w:bdr w:val="none" w:color="auto" w:sz="0" w:space="0"/>
              </w:rPr>
              <w:t>0</w:t>
            </w:r>
          </w:p>
        </w:tc>
      </w:tr>
    </w:tbl>
    <w:p>
      <w:pPr>
        <w:pStyle w:val="6"/>
        <w:keepNext w:val="0"/>
        <w:keepLines w:val="0"/>
        <w:widowControl/>
        <w:suppressLineNumbers w:val="0"/>
        <w:spacing w:line="420" w:lineRule="atLeast"/>
        <w:jc w:val="left"/>
      </w:pPr>
    </w:p>
    <w:p>
      <w:pPr>
        <w:pStyle w:val="6"/>
        <w:keepNext w:val="0"/>
        <w:keepLines w:val="0"/>
        <w:widowControl/>
        <w:suppressLineNumbers w:val="0"/>
        <w:spacing w:line="420" w:lineRule="atLeast"/>
        <w:ind w:left="0" w:firstLine="420"/>
        <w:jc w:val="left"/>
      </w:pPr>
      <w:r>
        <w:rPr>
          <w:rFonts w:hint="eastAsia" w:ascii="黑体" w:hAnsi="宋体" w:eastAsia="黑体" w:cs="黑体"/>
          <w:color w:val="000000"/>
          <w:sz w:val="31"/>
          <w:szCs w:val="31"/>
        </w:rPr>
        <w:t>四、政府信息公开行政复议、行政诉讼情况</w:t>
      </w:r>
    </w:p>
    <w:tbl>
      <w:tblPr>
        <w:tblW w:w="0" w:type="auto"/>
        <w:tblInd w:w="0" w:type="dxa"/>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563"/>
        <w:gridCol w:w="563"/>
        <w:gridCol w:w="563"/>
        <w:gridCol w:w="563"/>
        <w:gridCol w:w="564"/>
        <w:gridCol w:w="564"/>
        <w:gridCol w:w="564"/>
        <w:gridCol w:w="564"/>
        <w:gridCol w:w="564"/>
        <w:gridCol w:w="564"/>
        <w:gridCol w:w="564"/>
        <w:gridCol w:w="564"/>
        <w:gridCol w:w="564"/>
        <w:gridCol w:w="564"/>
        <w:gridCol w:w="564"/>
      </w:tblGrid>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0" w:type="dxa"/>
            <w:bottom w:w="0" w:type="dxa"/>
            <w:right w:w="0" w:type="dxa"/>
          </w:tblCellMar>
        </w:tblPrEx>
        <w:tc>
          <w:tcPr>
            <w:tcW w:w="3075" w:type="dxa"/>
            <w:gridSpan w:val="5"/>
            <w:tcBorders>
              <w:top w:val="single" w:color="auto" w:sz="6" w:space="0"/>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行政复议</w:t>
            </w:r>
          </w:p>
        </w:tc>
        <w:tc>
          <w:tcPr>
            <w:tcW w:w="6000" w:type="dxa"/>
            <w:gridSpan w:val="10"/>
            <w:tcBorders>
              <w:top w:val="single" w:color="auto" w:sz="6" w:space="0"/>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行政诉讼</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c>
          <w:tcPr>
            <w:tcW w:w="600" w:type="dxa"/>
            <w:vMerge w:val="restart"/>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结果维持</w:t>
            </w:r>
          </w:p>
        </w:tc>
        <w:tc>
          <w:tcPr>
            <w:tcW w:w="600" w:type="dxa"/>
            <w:vMerge w:val="restart"/>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结果纠正</w:t>
            </w:r>
          </w:p>
        </w:tc>
        <w:tc>
          <w:tcPr>
            <w:tcW w:w="600" w:type="dxa"/>
            <w:vMerge w:val="restart"/>
            <w:tcBorders>
              <w:top w:val="single" w:color="auto" w:sz="6" w:space="0"/>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其他结果</w:t>
            </w:r>
          </w:p>
        </w:tc>
        <w:tc>
          <w:tcPr>
            <w:tcW w:w="600" w:type="dxa"/>
            <w:vMerge w:val="restart"/>
            <w:tcBorders>
              <w:top w:val="single" w:color="auto" w:sz="6" w:space="0"/>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尚未审结</w:t>
            </w:r>
          </w:p>
        </w:tc>
        <w:tc>
          <w:tcPr>
            <w:tcW w:w="660" w:type="dxa"/>
            <w:vMerge w:val="restart"/>
            <w:tcBorders>
              <w:top w:val="single" w:color="auto" w:sz="6" w:space="0"/>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总计</w:t>
            </w:r>
          </w:p>
        </w:tc>
        <w:tc>
          <w:tcPr>
            <w:tcW w:w="2970" w:type="dxa"/>
            <w:gridSpan w:val="5"/>
            <w:tcBorders>
              <w:top w:val="single" w:color="auto" w:sz="6" w:space="0"/>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未经复议直接起诉</w:t>
            </w:r>
          </w:p>
        </w:tc>
        <w:tc>
          <w:tcPr>
            <w:tcW w:w="3030" w:type="dxa"/>
            <w:gridSpan w:val="5"/>
            <w:tcBorders>
              <w:top w:val="single" w:color="auto" w:sz="6" w:space="0"/>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复议后起诉</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c>
          <w:tcPr>
            <w:tcW w:w="600" w:type="dxa"/>
            <w:vMerge w:val="continue"/>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600" w:type="dxa"/>
            <w:vMerge w:val="continue"/>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600" w:type="dxa"/>
            <w:vMerge w:val="continue"/>
            <w:tcBorders>
              <w:top w:val="single" w:color="auto" w:sz="6" w:space="0"/>
              <w:left w:val="nil"/>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600" w:type="dxa"/>
            <w:vMerge w:val="continue"/>
            <w:tcBorders>
              <w:top w:val="single" w:color="auto" w:sz="6" w:space="0"/>
              <w:left w:val="nil"/>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660" w:type="dxa"/>
            <w:vMerge w:val="continue"/>
            <w:tcBorders>
              <w:top w:val="single" w:color="auto" w:sz="6" w:space="0"/>
              <w:left w:val="nil"/>
              <w:bottom w:val="single" w:color="auto" w:sz="6" w:space="0"/>
              <w:right w:val="single" w:color="auto" w:sz="6" w:space="0"/>
            </w:tcBorders>
            <w:shd w:val="clear"/>
            <w:tcMar>
              <w:top w:w="75" w:type="dxa"/>
              <w:left w:w="75" w:type="dxa"/>
              <w:bottom w:w="75" w:type="dxa"/>
              <w:right w:w="75" w:type="dxa"/>
            </w:tcMar>
            <w:vAlign w:val="center"/>
          </w:tcPr>
          <w:p>
            <w:pPr>
              <w:rPr>
                <w:rFonts w:hint="eastAsia" w:ascii="宋体"/>
                <w:sz w:val="24"/>
                <w:szCs w:val="24"/>
              </w:rPr>
            </w:pPr>
          </w:p>
        </w:tc>
        <w:tc>
          <w:tcPr>
            <w:tcW w:w="55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结果维持</w:t>
            </w:r>
          </w:p>
        </w:tc>
        <w:tc>
          <w:tcPr>
            <w:tcW w:w="60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结果纠正</w:t>
            </w:r>
          </w:p>
        </w:tc>
        <w:tc>
          <w:tcPr>
            <w:tcW w:w="600" w:type="dxa"/>
            <w:tcBorders>
              <w:top w:val="single" w:color="auto" w:sz="6" w:space="0"/>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其他结果</w:t>
            </w:r>
          </w:p>
        </w:tc>
        <w:tc>
          <w:tcPr>
            <w:tcW w:w="600" w:type="dxa"/>
            <w:tcBorders>
              <w:top w:val="single" w:color="auto" w:sz="6" w:space="0"/>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尚未审结</w:t>
            </w:r>
          </w:p>
        </w:tc>
        <w:tc>
          <w:tcPr>
            <w:tcW w:w="600" w:type="dxa"/>
            <w:tcBorders>
              <w:top w:val="single" w:color="auto" w:sz="6" w:space="0"/>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color w:val="000000"/>
                <w:sz w:val="19"/>
                <w:szCs w:val="19"/>
                <w:bdr w:val="none" w:color="auto" w:sz="0" w:space="0"/>
              </w:rPr>
              <w:t>总计</w:t>
            </w:r>
          </w:p>
        </w:tc>
        <w:tc>
          <w:tcPr>
            <w:tcW w:w="600" w:type="dxa"/>
            <w:tcBorders>
              <w:top w:val="single" w:color="auto" w:sz="6" w:space="0"/>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结果维持</w:t>
            </w:r>
          </w:p>
        </w:tc>
        <w:tc>
          <w:tcPr>
            <w:tcW w:w="600" w:type="dxa"/>
            <w:tcBorders>
              <w:top w:val="single" w:color="auto" w:sz="6" w:space="0"/>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结果纠正</w:t>
            </w:r>
          </w:p>
        </w:tc>
        <w:tc>
          <w:tcPr>
            <w:tcW w:w="600" w:type="dxa"/>
            <w:tcBorders>
              <w:top w:val="single" w:color="auto" w:sz="6" w:space="0"/>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color w:val="000000"/>
                <w:sz w:val="19"/>
                <w:szCs w:val="19"/>
                <w:bdr w:val="none" w:color="auto" w:sz="0" w:space="0"/>
              </w:rPr>
              <w:t>其他结果</w:t>
            </w:r>
          </w:p>
        </w:tc>
        <w:tc>
          <w:tcPr>
            <w:tcW w:w="600" w:type="dxa"/>
            <w:tcBorders>
              <w:top w:val="single" w:color="auto" w:sz="6" w:space="0"/>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19"/>
                <w:szCs w:val="19"/>
                <w:bdr w:val="none" w:color="auto" w:sz="0" w:space="0"/>
              </w:rPr>
              <w:t>尚未审结</w:t>
            </w:r>
          </w:p>
        </w:tc>
        <w:tc>
          <w:tcPr>
            <w:tcW w:w="600" w:type="dxa"/>
            <w:tcBorders>
              <w:top w:val="single" w:color="auto" w:sz="6" w:space="0"/>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color w:val="000000"/>
                <w:sz w:val="19"/>
                <w:szCs w:val="19"/>
                <w:bdr w:val="none" w:color="auto" w:sz="0" w:space="0"/>
              </w:rPr>
              <w:t>总计</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945" w:hRule="atLeast"/>
        </w:trPr>
        <w:tc>
          <w:tcPr>
            <w:tcW w:w="600" w:type="dxa"/>
            <w:tcBorders>
              <w:top w:val="nil"/>
              <w:left w:val="single" w:color="auto" w:sz="6" w:space="0"/>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60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60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60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66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24"/>
                <w:szCs w:val="24"/>
                <w:bdr w:val="none" w:color="auto" w:sz="0" w:space="0"/>
              </w:rPr>
              <w:t>0</w:t>
            </w:r>
          </w:p>
        </w:tc>
        <w:tc>
          <w:tcPr>
            <w:tcW w:w="555"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60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60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60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60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24"/>
                <w:szCs w:val="24"/>
                <w:bdr w:val="none" w:color="auto" w:sz="0" w:space="0"/>
              </w:rPr>
              <w:t>0</w:t>
            </w:r>
          </w:p>
        </w:tc>
        <w:tc>
          <w:tcPr>
            <w:tcW w:w="60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60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60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60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keepNext w:val="0"/>
              <w:keepLines w:val="0"/>
              <w:widowControl/>
              <w:suppressLineNumbers w:val="0"/>
              <w:jc w:val="left"/>
            </w:pPr>
          </w:p>
        </w:tc>
        <w:tc>
          <w:tcPr>
            <w:tcW w:w="600" w:type="dxa"/>
            <w:tcBorders>
              <w:top w:val="nil"/>
              <w:left w:val="nil"/>
              <w:bottom w:val="single" w:color="auto" w:sz="6" w:space="0"/>
              <w:right w:val="single" w:color="auto" w:sz="6" w:space="0"/>
            </w:tcBorders>
            <w:shd w:val="clear"/>
            <w:tcMar>
              <w:top w:w="75" w:type="dxa"/>
              <w:left w:w="75" w:type="dxa"/>
              <w:bottom w:w="75" w:type="dxa"/>
              <w:right w:w="75" w:type="dxa"/>
            </w:tcMar>
            <w:vAlign w:val="center"/>
          </w:tcPr>
          <w:p>
            <w:pPr>
              <w:pStyle w:val="6"/>
              <w:keepNext w:val="0"/>
              <w:keepLines w:val="0"/>
              <w:widowControl/>
              <w:suppressLineNumbers w:val="0"/>
              <w:spacing w:line="420" w:lineRule="atLeast"/>
              <w:ind w:left="0" w:firstLine="420"/>
              <w:jc w:val="center"/>
            </w:pPr>
            <w:r>
              <w:rPr>
                <w:rFonts w:hint="eastAsia" w:ascii="宋体" w:hAnsi="宋体" w:eastAsia="宋体" w:cs="宋体"/>
                <w:sz w:val="24"/>
                <w:szCs w:val="24"/>
                <w:bdr w:val="none" w:color="auto" w:sz="0" w:space="0"/>
              </w:rPr>
              <w:t>0</w:t>
            </w:r>
          </w:p>
        </w:tc>
      </w:tr>
    </w:tbl>
    <w:p>
      <w:pPr>
        <w:pStyle w:val="6"/>
        <w:keepNext w:val="0"/>
        <w:keepLines w:val="0"/>
        <w:widowControl/>
        <w:suppressLineNumbers w:val="0"/>
        <w:spacing w:line="420" w:lineRule="atLeast"/>
      </w:pPr>
    </w:p>
    <w:p>
      <w:pPr>
        <w:pStyle w:val="6"/>
        <w:keepNext w:val="0"/>
        <w:keepLines w:val="0"/>
        <w:widowControl/>
        <w:suppressLineNumbers w:val="0"/>
        <w:spacing w:line="420" w:lineRule="atLeast"/>
        <w:ind w:left="0" w:firstLine="420"/>
      </w:pPr>
      <w:r>
        <w:t>五、存在的主要问题及改进情况</w:t>
      </w:r>
    </w:p>
    <w:p>
      <w:pPr>
        <w:pStyle w:val="6"/>
        <w:keepNext w:val="0"/>
        <w:keepLines w:val="0"/>
        <w:widowControl/>
        <w:suppressLineNumbers w:val="0"/>
        <w:spacing w:line="420" w:lineRule="atLeast"/>
        <w:ind w:left="0" w:firstLine="420"/>
      </w:pPr>
      <w:r>
        <w:t>政府信息公开的宣传力度还有待进一步加强，政策宣传的广度和深度不够。目前很多群众尚不知晓政府信息公开工作，也就难以行使公民依法获取政府信息的权利，也就不能充分的发挥政府信息对人民生产、生活的服务作用。基于这种情况，下一步我们会在宣传上下功夫，加大政策宣传力度，使更多的人了解政府信息公开工作，并积极的参与到此项工作中来，充分行使公民权利，起到促进政府工作公开化、透明化，促进依法行政的作用。</w:t>
      </w:r>
    </w:p>
    <w:p>
      <w:pPr>
        <w:pStyle w:val="6"/>
        <w:keepNext w:val="0"/>
        <w:keepLines w:val="0"/>
        <w:widowControl/>
        <w:suppressLineNumbers w:val="0"/>
        <w:spacing w:line="420" w:lineRule="atLeast"/>
        <w:ind w:left="0" w:firstLine="420"/>
      </w:pPr>
      <w:r>
        <w:t>六、其他需要报告的事项</w:t>
      </w:r>
    </w:p>
    <w:p>
      <w:pPr>
        <w:pStyle w:val="6"/>
        <w:keepNext w:val="0"/>
        <w:keepLines w:val="0"/>
        <w:widowControl/>
        <w:suppressLineNumbers w:val="0"/>
        <w:spacing w:line="420" w:lineRule="atLeast"/>
        <w:ind w:left="0" w:firstLine="420"/>
      </w:pPr>
      <w:r>
        <w:t>（文字描述）</w:t>
      </w:r>
    </w:p>
    <w:p>
      <w:pPr>
        <w:pStyle w:val="6"/>
        <w:keepNext w:val="0"/>
        <w:keepLines w:val="0"/>
        <w:widowControl/>
        <w:suppressLineNumbers w:val="0"/>
        <w:spacing w:line="420" w:lineRule="atLeast"/>
      </w:pPr>
    </w:p>
    <w:p>
      <w:pPr>
        <w:rPr>
          <w:rFonts w:ascii="仿宋_GB2312" w:eastAsia="仿宋_GB2312"/>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方正粗黑宋简体">
    <w:panose1 w:val="02000000000000000000"/>
    <w:charset w:val="86"/>
    <w:family w:val="auto"/>
    <w:pitch w:val="default"/>
    <w:sig w:usb0="A00002BF" w:usb1="184F6CFA" w:usb2="00000012" w:usb3="00000000" w:csb0="00040001" w:csb1="00000000"/>
  </w:font>
  <w:font w:name="华文中宋">
    <w:panose1 w:val="02010600040101010101"/>
    <w:charset w:val="86"/>
    <w:family w:val="auto"/>
    <w:pitch w:val="default"/>
    <w:sig w:usb0="00000287" w:usb1="080F0000" w:usb2="00000000" w:usb3="00000000" w:csb0="0004009F" w:csb1="DFD70000"/>
  </w:font>
  <w:font w:name="Cambria">
    <w:panose1 w:val="02040503050406030204"/>
    <w:charset w:val="00"/>
    <w:family w:val="auto"/>
    <w:pitch w:val="default"/>
    <w:sig w:usb0="E00002FF" w:usb1="400004FF" w:usb2="00000000" w:usb3="00000000" w:csb0="2000019F" w:csb1="00000000"/>
  </w:font>
  <w:font w:name="Arial">
    <w:panose1 w:val="020B0604020202020204"/>
    <w:charset w:val="00"/>
    <w:family w:val=""/>
    <w:pitch w:val="default"/>
    <w:sig w:usb0="E0002AFF" w:usb1="C0007843" w:usb2="00000009" w:usb3="00000000" w:csb0="400001FF" w:csb1="FFFF0000"/>
  </w:font>
  <w:font w:name="微软雅黑 Light">
    <w:altName w:val="黑体"/>
    <w:panose1 w:val="020B0502040204020203"/>
    <w:charset w:val="86"/>
    <w:family w:val="swiss"/>
    <w:pitch w:val="variable"/>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6B91"/>
    <w:rsid w:val="00222D5E"/>
    <w:rsid w:val="002344A4"/>
    <w:rsid w:val="0035682F"/>
    <w:rsid w:val="004A5B77"/>
    <w:rsid w:val="00543512"/>
    <w:rsid w:val="00627811"/>
    <w:rsid w:val="0077797D"/>
    <w:rsid w:val="00A20299"/>
    <w:rsid w:val="00AE6B91"/>
    <w:rsid w:val="00BD6F5A"/>
    <w:rsid w:val="00C433EF"/>
    <w:rsid w:val="00DE6500"/>
    <w:rsid w:val="00E04C4B"/>
    <w:rsid w:val="00E10FCF"/>
    <w:rsid w:val="00E56331"/>
    <w:rsid w:val="00E850DB"/>
    <w:rsid w:val="06D201D3"/>
    <w:rsid w:val="18C10FC9"/>
    <w:rsid w:val="19332044"/>
    <w:rsid w:val="1B6420AF"/>
    <w:rsid w:val="1FD208FA"/>
    <w:rsid w:val="26B4676A"/>
    <w:rsid w:val="3AE15007"/>
    <w:rsid w:val="5BA26FE7"/>
    <w:rsid w:val="676E0DB8"/>
    <w:rsid w:val="6E547C9E"/>
    <w:rsid w:val="75F07E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10"/>
    <w:qFormat/>
    <w:uiPriority w:val="9"/>
    <w:pPr>
      <w:widowControl/>
      <w:spacing w:before="100" w:beforeAutospacing="1" w:after="100" w:afterAutospacing="1"/>
      <w:jc w:val="left"/>
      <w:outlineLvl w:val="1"/>
    </w:pPr>
    <w:rPr>
      <w:rFonts w:ascii="宋体" w:hAnsi="宋体" w:eastAsia="宋体" w:cs="宋体"/>
      <w:b/>
      <w:bCs/>
      <w:kern w:val="0"/>
      <w:sz w:val="36"/>
      <w:szCs w:val="36"/>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3"/>
    <w:semiHidden/>
    <w:unhideWhenUsed/>
    <w:qFormat/>
    <w:uiPriority w:val="99"/>
    <w:rPr>
      <w:sz w:val="18"/>
      <w:szCs w:val="18"/>
    </w:rPr>
  </w:style>
  <w:style w:type="paragraph" w:styleId="4">
    <w:name w:val="footer"/>
    <w:basedOn w:val="1"/>
    <w:link w:val="12"/>
    <w:semiHidden/>
    <w:unhideWhenUsed/>
    <w:qFormat/>
    <w:uiPriority w:val="99"/>
    <w:pPr>
      <w:tabs>
        <w:tab w:val="center" w:pos="4153"/>
        <w:tab w:val="right" w:pos="8306"/>
      </w:tabs>
      <w:snapToGrid w:val="0"/>
      <w:jc w:val="left"/>
    </w:pPr>
    <w:rPr>
      <w:sz w:val="18"/>
      <w:szCs w:val="18"/>
    </w:rPr>
  </w:style>
  <w:style w:type="paragraph" w:styleId="5">
    <w:name w:val="header"/>
    <w:basedOn w:val="1"/>
    <w:link w:val="11"/>
    <w:semiHidden/>
    <w:unhideWhenUsed/>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unhideWhenUsed/>
    <w:qFormat/>
    <w:uiPriority w:val="0"/>
    <w:pPr>
      <w:widowControl/>
      <w:spacing w:before="100" w:beforeAutospacing="1" w:after="100" w:afterAutospacing="1"/>
      <w:jc w:val="left"/>
    </w:pPr>
    <w:rPr>
      <w:rFonts w:ascii="宋体" w:hAnsi="宋体" w:eastAsia="宋体" w:cs="宋体"/>
      <w:kern w:val="0"/>
      <w:sz w:val="24"/>
      <w:szCs w:val="24"/>
    </w:rPr>
  </w:style>
  <w:style w:type="character" w:styleId="9">
    <w:name w:val="Strong"/>
    <w:basedOn w:val="8"/>
    <w:qFormat/>
    <w:uiPriority w:val="22"/>
    <w:rPr>
      <w:b/>
    </w:rPr>
  </w:style>
  <w:style w:type="character" w:customStyle="1" w:styleId="10">
    <w:name w:val="标题 2 Char"/>
    <w:basedOn w:val="8"/>
    <w:link w:val="2"/>
    <w:uiPriority w:val="9"/>
    <w:rPr>
      <w:rFonts w:ascii="宋体" w:hAnsi="宋体" w:eastAsia="宋体" w:cs="宋体"/>
      <w:b/>
      <w:bCs/>
      <w:kern w:val="0"/>
      <w:sz w:val="36"/>
      <w:szCs w:val="36"/>
    </w:rPr>
  </w:style>
  <w:style w:type="character" w:customStyle="1" w:styleId="11">
    <w:name w:val="页眉 Char"/>
    <w:basedOn w:val="8"/>
    <w:link w:val="5"/>
    <w:semiHidden/>
    <w:uiPriority w:val="99"/>
    <w:rPr>
      <w:sz w:val="18"/>
      <w:szCs w:val="18"/>
    </w:rPr>
  </w:style>
  <w:style w:type="character" w:customStyle="1" w:styleId="12">
    <w:name w:val="页脚 Char"/>
    <w:basedOn w:val="8"/>
    <w:link w:val="4"/>
    <w:semiHidden/>
    <w:qFormat/>
    <w:uiPriority w:val="99"/>
    <w:rPr>
      <w:sz w:val="18"/>
      <w:szCs w:val="18"/>
    </w:rPr>
  </w:style>
  <w:style w:type="character" w:customStyle="1" w:styleId="13">
    <w:name w:val="批注框文本 Char"/>
    <w:basedOn w:val="8"/>
    <w:link w:val="3"/>
    <w:semiHidden/>
    <w:uiPriority w:val="99"/>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Pages>
  <Words>380</Words>
  <Characters>2170</Characters>
  <Lines>18</Lines>
  <Paragraphs>5</Paragraphs>
  <TotalTime>1</TotalTime>
  <ScaleCrop>false</ScaleCrop>
  <LinksUpToDate>false</LinksUpToDate>
  <CharactersWithSpaces>2545</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2021-05-24T02:59:00Z</dcterms:created>
  <dc:creator>dell</dc:creator>
  <cp:lastModifiedBy>利剑</cp:lastModifiedBy>
  <dcterms:modified xsi:type="dcterms:W3CDTF">2021-05-28T03:42:12Z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D84AA56838B040FD8A06CE85BF23DD65</vt:lpwstr>
  </property>
</Properties>
</file>