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360"/>
        <w:jc w:val="center"/>
        <w:outlineLvl w:val="1"/>
        <w:rPr>
          <w:rFonts w:ascii="微软雅黑" w:hAnsi="微软雅黑" w:eastAsia="微软雅黑" w:cs="宋体"/>
          <w:color w:val="0040A1"/>
          <w:kern w:val="0"/>
          <w:sz w:val="31"/>
          <w:szCs w:val="31"/>
        </w:rPr>
      </w:pPr>
      <w:r>
        <w:rPr>
          <w:rFonts w:hint="eastAsia" w:ascii="微软雅黑" w:hAnsi="微软雅黑" w:eastAsia="微软雅黑" w:cs="宋体"/>
          <w:color w:val="0040A1"/>
          <w:kern w:val="0"/>
          <w:sz w:val="31"/>
          <w:szCs w:val="31"/>
        </w:rPr>
        <w:t>区</w:t>
      </w:r>
      <w:r>
        <w:rPr>
          <w:rFonts w:hint="eastAsia" w:ascii="微软雅黑" w:hAnsi="微软雅黑" w:eastAsia="微软雅黑" w:cs="宋体"/>
          <w:color w:val="0040A1"/>
          <w:kern w:val="0"/>
          <w:sz w:val="31"/>
          <w:szCs w:val="31"/>
          <w:lang w:val="en-US" w:eastAsia="zh-CN"/>
        </w:rPr>
        <w:t>农业农村</w:t>
      </w:r>
      <w:r>
        <w:rPr>
          <w:rFonts w:hint="eastAsia" w:ascii="微软雅黑" w:hAnsi="微软雅黑" w:eastAsia="微软雅黑" w:cs="宋体"/>
          <w:color w:val="0040A1"/>
          <w:kern w:val="0"/>
          <w:sz w:val="31"/>
          <w:szCs w:val="31"/>
        </w:rPr>
        <w:t>局2020年度政府信息公开工作报告</w:t>
      </w:r>
    </w:p>
    <w:p>
      <w:pPr>
        <w:widowControl/>
        <w:shd w:val="clear" w:color="auto" w:fill="FFFFFF"/>
        <w:spacing w:line="240" w:lineRule="atLeast"/>
        <w:rPr>
          <w:rFonts w:ascii="微软雅黑" w:hAnsi="微软雅黑" w:eastAsia="微软雅黑" w:cs="宋体"/>
          <w:color w:val="999999"/>
          <w:kern w:val="0"/>
          <w:sz w:val="14"/>
          <w:szCs w:val="14"/>
        </w:rPr>
      </w:pPr>
    </w:p>
    <w:p>
      <w:pPr>
        <w:widowControl/>
        <w:shd w:val="clear" w:color="auto" w:fill="FFFFFF"/>
        <w:spacing w:line="240" w:lineRule="atLeast"/>
        <w:rPr>
          <w:rFonts w:ascii="微软雅黑" w:hAnsi="微软雅黑" w:eastAsia="微软雅黑" w:cs="宋体"/>
          <w:color w:val="999999"/>
          <w:kern w:val="0"/>
          <w:sz w:val="14"/>
          <w:szCs w:val="14"/>
        </w:rPr>
      </w:pPr>
    </w:p>
    <w:p>
      <w:pPr>
        <w:pStyle w:val="6"/>
        <w:spacing w:beforeAutospacing="0" w:afterAutospacing="0" w:line="580" w:lineRule="exact"/>
        <w:ind w:firstLine="628" w:firstLineChars="200"/>
        <w:rPr>
          <w:rFonts w:ascii="Times New Roman" w:hAnsi="Times New Roman" w:eastAsia="仿宋_GB2312"/>
          <w:sz w:val="32"/>
          <w:szCs w:val="32"/>
        </w:rPr>
      </w:pPr>
      <w:r>
        <w:rPr>
          <w:rFonts w:ascii="Times New Roman" w:hAnsi="Times New Roman" w:eastAsia="仿宋_GB2312" w:cs="Times New Roman"/>
          <w:spacing w:val="-3"/>
          <w:sz w:val="32"/>
          <w:szCs w:val="32"/>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w:t>
      </w:r>
      <w:r>
        <w:rPr>
          <w:rFonts w:hint="eastAsia" w:ascii="Times New Roman" w:hAnsi="Times New Roman" w:eastAsia="仿宋_GB2312" w:cs="Times New Roman"/>
          <w:spacing w:val="-3"/>
          <w:sz w:val="32"/>
          <w:szCs w:val="32"/>
          <w:lang w:val="en-US" w:eastAsia="zh-CN"/>
        </w:rPr>
        <w:t>农业农村</w:t>
      </w:r>
      <w:r>
        <w:rPr>
          <w:rFonts w:hint="eastAsia" w:ascii="Times New Roman" w:hAnsi="Times New Roman" w:eastAsia="仿宋_GB2312" w:cs="Times New Roman"/>
          <w:spacing w:val="-3"/>
          <w:sz w:val="32"/>
          <w:szCs w:val="32"/>
        </w:rPr>
        <w:t>局</w:t>
      </w:r>
      <w:r>
        <w:rPr>
          <w:rFonts w:ascii="Times New Roman" w:hAnsi="Times New Roman" w:eastAsia="仿宋_GB2312" w:cs="Times New Roman"/>
          <w:spacing w:val="-3"/>
          <w:sz w:val="32"/>
          <w:szCs w:val="32"/>
        </w:rPr>
        <w:t>2020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2020年1月1日起至2020年12月31日止。本年度报告的电子版可以在“薛城区政府门户网站”（http://xxgk.xuecheng.gov.cn/xxgknb/2020xxgknb/)下载。如对本报告有疑问，可与薛城区</w:t>
      </w:r>
      <w:r>
        <w:rPr>
          <w:rFonts w:hint="eastAsia" w:ascii="Times New Roman" w:hAnsi="Times New Roman" w:eastAsia="仿宋_GB2312" w:cs="Times New Roman"/>
          <w:spacing w:val="-3"/>
          <w:sz w:val="32"/>
          <w:szCs w:val="32"/>
          <w:lang w:val="en-US" w:eastAsia="zh-CN"/>
        </w:rPr>
        <w:t>农业农村</w:t>
      </w:r>
      <w:r>
        <w:rPr>
          <w:rFonts w:ascii="Times New Roman" w:hAnsi="Times New Roman" w:eastAsia="仿宋_GB2312" w:cs="Times New Roman"/>
          <w:spacing w:val="-3"/>
          <w:sz w:val="32"/>
          <w:szCs w:val="32"/>
        </w:rPr>
        <w:t>局联系(地址:枣庄市薛城区</w:t>
      </w:r>
      <w:r>
        <w:rPr>
          <w:rFonts w:hint="eastAsia" w:ascii="Times New Roman" w:hAnsi="Times New Roman" w:eastAsia="仿宋_GB2312" w:cs="Times New Roman"/>
          <w:spacing w:val="-3"/>
          <w:sz w:val="32"/>
          <w:szCs w:val="32"/>
          <w:lang w:val="en-US" w:eastAsia="zh-CN"/>
        </w:rPr>
        <w:t>湘江路仲建商务广场</w:t>
      </w:r>
      <w:r>
        <w:rPr>
          <w:rFonts w:ascii="Times New Roman" w:hAnsi="Times New Roman" w:eastAsia="仿宋_GB2312" w:cs="Times New Roman"/>
          <w:spacing w:val="-3"/>
          <w:sz w:val="32"/>
          <w:szCs w:val="32"/>
        </w:rPr>
        <w:t>，邮编：277000 ，电话：0632—</w:t>
      </w:r>
      <w:r>
        <w:rPr>
          <w:rFonts w:hint="eastAsia" w:ascii="Times New Roman" w:hAnsi="Times New Roman" w:eastAsia="仿宋_GB2312" w:cs="Times New Roman"/>
          <w:spacing w:val="-3"/>
          <w:sz w:val="32"/>
          <w:szCs w:val="32"/>
        </w:rPr>
        <w:t>4412</w:t>
      </w:r>
      <w:r>
        <w:rPr>
          <w:rFonts w:hint="eastAsia" w:ascii="Times New Roman" w:hAnsi="Times New Roman" w:eastAsia="仿宋_GB2312" w:cs="Times New Roman"/>
          <w:spacing w:val="-3"/>
          <w:sz w:val="32"/>
          <w:szCs w:val="32"/>
          <w:lang w:val="en-US" w:eastAsia="zh-CN"/>
        </w:rPr>
        <w:t>613</w:t>
      </w:r>
      <w:r>
        <w:rPr>
          <w:rFonts w:ascii="Times New Roman" w:hAnsi="Times New Roman" w:eastAsia="仿宋_GB2312" w:cs="Times New Roman"/>
          <w:spacing w:val="-3"/>
          <w:sz w:val="32"/>
          <w:szCs w:val="32"/>
        </w:rPr>
        <w:t>，电子邮箱：</w:t>
      </w:r>
      <w:r>
        <w:rPr>
          <w:rFonts w:hint="eastAsia" w:ascii="Times New Roman" w:hAnsi="Times New Roman" w:eastAsia="仿宋_GB2312" w:cs="Times New Roman"/>
          <w:spacing w:val="-3"/>
          <w:sz w:val="32"/>
          <w:szCs w:val="32"/>
          <w:lang w:val="en-US" w:eastAsia="zh-CN"/>
        </w:rPr>
        <w:t>xcqnyncj</w:t>
      </w:r>
      <w:r>
        <w:rPr>
          <w:rFonts w:ascii="Times New Roman" w:hAnsi="Times New Roman" w:eastAsia="仿宋_GB2312" w:cs="Times New Roman"/>
          <w:spacing w:val="-3"/>
          <w:sz w:val="32"/>
          <w:szCs w:val="32"/>
        </w:rPr>
        <w:t>@zz.shandong.cn )。</w:t>
      </w:r>
    </w:p>
    <w:p>
      <w:pPr>
        <w:widowControl/>
        <w:shd w:val="clear" w:color="auto" w:fill="FFFFFF"/>
        <w:spacing w:after="180"/>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一、整体情况</w:t>
      </w:r>
    </w:p>
    <w:p>
      <w:pPr>
        <w:widowControl/>
        <w:shd w:val="clear" w:color="auto" w:fill="FFFFFF"/>
        <w:spacing w:after="180"/>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2020年，薛城区</w:t>
      </w:r>
      <w:r>
        <w:rPr>
          <w:rFonts w:hint="eastAsia" w:ascii="仿宋_GB2312" w:hAnsi="微软雅黑" w:eastAsia="仿宋_GB2312" w:cs="宋体"/>
          <w:color w:val="000000"/>
          <w:kern w:val="0"/>
          <w:sz w:val="32"/>
          <w:szCs w:val="32"/>
          <w:lang w:val="en-US" w:eastAsia="zh-CN"/>
        </w:rPr>
        <w:t>农业农村</w:t>
      </w:r>
      <w:r>
        <w:rPr>
          <w:rFonts w:hint="eastAsia" w:ascii="仿宋_GB2312" w:hAnsi="微软雅黑" w:eastAsia="仿宋_GB2312" w:cs="宋体"/>
          <w:color w:val="000000"/>
          <w:kern w:val="0"/>
          <w:sz w:val="32"/>
          <w:szCs w:val="32"/>
        </w:rPr>
        <w:t>局认真贯彻落实《中华人民共和国政府信息公开条例》和《国务院办公厅政府信息与政务公开办公室关于政府信息公开工作年度报告有关事项的通知》（国办公开办函〔2019〕60号）,并按照上级机关有关政府信息公开的要求，积极推进政府信息公开工作，拓宽信息公开渠道，提升规范公开内容质量，确保信息内容准确规范地传达给社会、公众。</w:t>
      </w:r>
    </w:p>
    <w:p>
      <w:pPr>
        <w:widowControl/>
        <w:shd w:val="clear" w:color="auto" w:fill="FFFFFF"/>
        <w:spacing w:after="180"/>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(一)加强思想教育,提高对政府信息公开认识。</w:t>
      </w:r>
      <w:r>
        <w:rPr>
          <w:rFonts w:hint="eastAsia" w:ascii="仿宋_GB2312" w:hAnsi="微软雅黑" w:eastAsia="仿宋_GB2312" w:cs="宋体"/>
          <w:color w:val="000000"/>
          <w:kern w:val="0"/>
          <w:sz w:val="32"/>
          <w:szCs w:val="32"/>
        </w:rPr>
        <w:t>紧紧围绕贯彻习近平新时代中国特色社会主义思想，加强党建引领，认真学习《中华人民共和国政府信息公开条例》等系列文件，提高全局干部对政府信息公开认识。同时注意加强信息公开业务培训，把</w:t>
      </w:r>
      <w:r>
        <w:rPr>
          <w:rFonts w:hint="eastAsia" w:ascii="仿宋_GB2312" w:hAnsi="微软雅黑" w:eastAsia="仿宋_GB2312" w:cs="宋体"/>
          <w:color w:val="000000"/>
          <w:kern w:val="0"/>
          <w:sz w:val="32"/>
          <w:szCs w:val="32"/>
          <w:lang w:val="en-US" w:eastAsia="zh-CN"/>
        </w:rPr>
        <w:t>农业</w:t>
      </w:r>
      <w:r>
        <w:rPr>
          <w:rFonts w:hint="eastAsia" w:ascii="仿宋_GB2312" w:hAnsi="微软雅黑" w:eastAsia="仿宋_GB2312" w:cs="宋体"/>
          <w:color w:val="000000"/>
          <w:kern w:val="0"/>
          <w:sz w:val="32"/>
          <w:szCs w:val="32"/>
        </w:rPr>
        <w:t>知识和政务公开相结合，进一步提高</w:t>
      </w:r>
      <w:r>
        <w:rPr>
          <w:rFonts w:hint="eastAsia" w:ascii="仿宋_GB2312" w:hAnsi="微软雅黑" w:eastAsia="仿宋_GB2312" w:cs="宋体"/>
          <w:color w:val="000000"/>
          <w:kern w:val="0"/>
          <w:sz w:val="32"/>
          <w:szCs w:val="32"/>
          <w:lang w:val="en-US" w:eastAsia="zh-CN"/>
        </w:rPr>
        <w:t>农业农村</w:t>
      </w:r>
      <w:r>
        <w:rPr>
          <w:rFonts w:hint="eastAsia" w:ascii="仿宋_GB2312" w:hAnsi="微软雅黑" w:eastAsia="仿宋_GB2312" w:cs="宋体"/>
          <w:color w:val="000000"/>
          <w:kern w:val="0"/>
          <w:sz w:val="32"/>
          <w:szCs w:val="32"/>
        </w:rPr>
        <w:t>工作信息公开的质量。</w:t>
      </w:r>
    </w:p>
    <w:p>
      <w:pPr>
        <w:widowControl/>
        <w:shd w:val="clear" w:color="auto" w:fill="FFFFFF"/>
        <w:spacing w:after="180"/>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(二)信息公开及时，层层规范化管理。</w:t>
      </w:r>
      <w:r>
        <w:rPr>
          <w:rFonts w:hint="eastAsia" w:ascii="仿宋_GB2312" w:hAnsi="微软雅黑" w:eastAsia="仿宋_GB2312" w:cs="宋体"/>
          <w:color w:val="000000"/>
          <w:kern w:val="0"/>
          <w:sz w:val="32"/>
          <w:szCs w:val="32"/>
        </w:rPr>
        <w:t>压实信息公开各级主体责任，明确一名班子成员具体分管，安排专人负责平台建设，完成局政务信息公开平台的内容维护工作，做好栏目的及时更新及上传工作。做到每层上报均有专人负责把关，确保信息准确、及时，稳定有序。2020年全年我局在薛城区政府网站上主动公开政府信息</w:t>
      </w:r>
      <w:r>
        <w:rPr>
          <w:rFonts w:hint="eastAsia" w:ascii="仿宋_GB2312" w:hAnsi="微软雅黑" w:eastAsia="仿宋_GB2312" w:cs="宋体"/>
          <w:color w:val="000000"/>
          <w:kern w:val="0"/>
          <w:sz w:val="32"/>
          <w:szCs w:val="32"/>
          <w:lang w:val="en-US" w:eastAsia="zh-CN"/>
        </w:rPr>
        <w:t>49</w:t>
      </w:r>
      <w:r>
        <w:rPr>
          <w:rFonts w:hint="eastAsia" w:ascii="仿宋_GB2312" w:hAnsi="微软雅黑" w:eastAsia="仿宋_GB2312" w:cs="宋体"/>
          <w:color w:val="000000"/>
          <w:kern w:val="0"/>
          <w:sz w:val="32"/>
          <w:szCs w:val="32"/>
        </w:rPr>
        <w:t>条，其中人大政协提案</w:t>
      </w:r>
      <w:r>
        <w:rPr>
          <w:rFonts w:hint="eastAsia" w:ascii="仿宋_GB2312" w:hAnsi="微软雅黑" w:eastAsia="仿宋_GB2312" w:cs="宋体"/>
          <w:color w:val="000000"/>
          <w:kern w:val="0"/>
          <w:sz w:val="32"/>
          <w:szCs w:val="32"/>
          <w:lang w:val="en-US" w:eastAsia="zh-CN"/>
        </w:rPr>
        <w:t>10</w:t>
      </w:r>
      <w:r>
        <w:rPr>
          <w:rFonts w:hint="eastAsia" w:ascii="仿宋_GB2312" w:hAnsi="微软雅黑" w:eastAsia="仿宋_GB2312" w:cs="宋体"/>
          <w:color w:val="000000"/>
          <w:kern w:val="0"/>
          <w:sz w:val="32"/>
          <w:szCs w:val="32"/>
        </w:rPr>
        <w:t>条，日常监督检查</w:t>
      </w:r>
      <w:r>
        <w:rPr>
          <w:rFonts w:hint="eastAsia" w:ascii="仿宋_GB2312" w:hAnsi="微软雅黑" w:eastAsia="仿宋_GB2312" w:cs="宋体"/>
          <w:color w:val="000000"/>
          <w:kern w:val="0"/>
          <w:sz w:val="32"/>
          <w:szCs w:val="32"/>
          <w:lang w:val="en-US" w:eastAsia="zh-CN"/>
        </w:rPr>
        <w:t>6</w:t>
      </w:r>
      <w:r>
        <w:rPr>
          <w:rFonts w:hint="eastAsia" w:ascii="仿宋_GB2312" w:hAnsi="微软雅黑" w:eastAsia="仿宋_GB2312" w:cs="宋体"/>
          <w:color w:val="000000"/>
          <w:kern w:val="0"/>
          <w:sz w:val="32"/>
          <w:szCs w:val="32"/>
        </w:rPr>
        <w:t>条；金融重点领域信息公开</w:t>
      </w:r>
      <w:r>
        <w:rPr>
          <w:rFonts w:hint="eastAsia" w:ascii="仿宋_GB2312" w:hAnsi="微软雅黑" w:eastAsia="仿宋_GB2312" w:cs="宋体"/>
          <w:color w:val="000000"/>
          <w:kern w:val="0"/>
          <w:sz w:val="32"/>
          <w:szCs w:val="32"/>
          <w:lang w:val="en-US" w:eastAsia="zh-CN"/>
        </w:rPr>
        <w:t>3</w:t>
      </w:r>
      <w:r>
        <w:rPr>
          <w:rFonts w:hint="eastAsia" w:ascii="仿宋_GB2312" w:hAnsi="微软雅黑" w:eastAsia="仿宋_GB2312" w:cs="宋体"/>
          <w:color w:val="000000"/>
          <w:kern w:val="0"/>
          <w:sz w:val="32"/>
          <w:szCs w:val="32"/>
        </w:rPr>
        <w:t>条；会议公开信息</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条；政策解读1条，规范性文件1条，其他信息</w:t>
      </w:r>
      <w:r>
        <w:rPr>
          <w:rFonts w:hint="eastAsia" w:ascii="仿宋_GB2312" w:hAnsi="微软雅黑" w:eastAsia="仿宋_GB2312" w:cs="宋体"/>
          <w:color w:val="000000"/>
          <w:kern w:val="0"/>
          <w:sz w:val="32"/>
          <w:szCs w:val="32"/>
          <w:lang w:val="en-US" w:eastAsia="zh-CN"/>
        </w:rPr>
        <w:t>28</w:t>
      </w:r>
      <w:r>
        <w:rPr>
          <w:rFonts w:hint="eastAsia" w:ascii="仿宋_GB2312" w:hAnsi="微软雅黑" w:eastAsia="仿宋_GB2312" w:cs="宋体"/>
          <w:color w:val="000000"/>
          <w:kern w:val="0"/>
          <w:sz w:val="32"/>
          <w:szCs w:val="32"/>
        </w:rPr>
        <w:t>条。</w:t>
      </w:r>
    </w:p>
    <w:p>
      <w:pPr>
        <w:widowControl/>
        <w:shd w:val="clear" w:color="auto" w:fill="FFFFFF"/>
        <w:spacing w:after="180"/>
        <w:ind w:firstLine="480"/>
        <w:jc w:val="left"/>
        <w:rPr>
          <w:rFonts w:ascii="仿宋_GB2312" w:hAnsi="微软雅黑" w:eastAsia="仿宋_GB2312" w:cs="宋体"/>
          <w:color w:val="000000"/>
          <w:kern w:val="0"/>
          <w:sz w:val="32"/>
          <w:szCs w:val="32"/>
        </w:rPr>
      </w:pPr>
    </w:p>
    <w:p>
      <w:pPr>
        <w:widowControl/>
        <w:shd w:val="clear" w:color="auto" w:fill="FFFFFF"/>
        <w:spacing w:after="180"/>
        <w:jc w:val="left"/>
        <w:rPr>
          <w:rFonts w:hint="eastAsia" w:ascii="仿宋_GB2312" w:hAnsi="微软雅黑" w:eastAsia="仿宋_GB2312" w:cs="宋体"/>
          <w:color w:val="000000"/>
          <w:kern w:val="0"/>
          <w:sz w:val="32"/>
          <w:szCs w:val="32"/>
          <w:lang w:eastAsia="zh-CN"/>
        </w:rPr>
      </w:pPr>
      <w:r>
        <w:rPr>
          <w:rFonts w:hint="eastAsia" w:ascii="仿宋_GB2312" w:hAnsi="微软雅黑" w:eastAsia="仿宋_GB2312" w:cs="宋体"/>
          <w:color w:val="000000"/>
          <w:kern w:val="0"/>
          <w:sz w:val="32"/>
          <w:szCs w:val="32"/>
          <w:lang w:eastAsia="zh-CN"/>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widowControl/>
        <w:shd w:val="clear" w:color="auto" w:fill="FFFFFF"/>
        <w:spacing w:after="180"/>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(三)拓宽信息公开渠道，完善信息公开内容。</w:t>
      </w:r>
      <w:r>
        <w:rPr>
          <w:rFonts w:hint="eastAsia" w:ascii="仿宋_GB2312" w:hAnsi="微软雅黑" w:eastAsia="仿宋_GB2312" w:cs="宋体"/>
          <w:color w:val="000000"/>
          <w:kern w:val="0"/>
          <w:sz w:val="32"/>
          <w:szCs w:val="32"/>
        </w:rPr>
        <w:t>我局认真贯彻落实党中央和省、市、区委关于金融工作的方针政策和决策，高度重视官网的建设工作，充分发挥新媒体的作用，加强与群众之间的沟通，接受群众的监督,促使金融工作更公开、透明、准确。我局政务公开的内容包括：权责清单、领导分工、规范性文件、日常监督检查等。</w:t>
      </w:r>
    </w:p>
    <w:p>
      <w:pPr>
        <w:widowControl/>
        <w:shd w:val="clear" w:color="auto" w:fill="FFFFFF"/>
        <w:spacing w:after="180"/>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二、政府信息公开情况</w:t>
      </w:r>
    </w:p>
    <w:tbl>
      <w:tblPr>
        <w:tblStyle w:val="7"/>
        <w:tblW w:w="6516" w:type="dxa"/>
        <w:tblInd w:w="0" w:type="dxa"/>
        <w:tblLayout w:type="autofit"/>
        <w:tblCellMar>
          <w:top w:w="15" w:type="dxa"/>
          <w:left w:w="15" w:type="dxa"/>
          <w:bottom w:w="15" w:type="dxa"/>
          <w:right w:w="15" w:type="dxa"/>
        </w:tblCellMar>
      </w:tblPr>
      <w:tblGrid>
        <w:gridCol w:w="2229"/>
        <w:gridCol w:w="1566"/>
        <w:gridCol w:w="10"/>
        <w:gridCol w:w="1202"/>
        <w:gridCol w:w="1509"/>
      </w:tblGrid>
      <w:tr>
        <w:tblPrEx>
          <w:tblCellMar>
            <w:top w:w="15" w:type="dxa"/>
            <w:left w:w="15" w:type="dxa"/>
            <w:bottom w:w="15" w:type="dxa"/>
            <w:right w:w="15" w:type="dxa"/>
          </w:tblCellMar>
        </w:tblPrEx>
        <w:trPr>
          <w:trHeight w:val="396" w:hRule="atLeast"/>
        </w:trPr>
        <w:tc>
          <w:tcPr>
            <w:tcW w:w="6516" w:type="dxa"/>
            <w:gridSpan w:val="5"/>
            <w:tcBorders>
              <w:top w:val="single" w:color="auto" w:sz="4" w:space="0"/>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第二十条第（一）项</w:t>
            </w:r>
          </w:p>
        </w:tc>
      </w:tr>
      <w:tr>
        <w:tblPrEx>
          <w:tblCellMar>
            <w:top w:w="15" w:type="dxa"/>
            <w:left w:w="15" w:type="dxa"/>
            <w:bottom w:w="15" w:type="dxa"/>
            <w:right w:w="15" w:type="dxa"/>
          </w:tblCellMar>
        </w:tblPrEx>
        <w:trPr>
          <w:trHeight w:val="708"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本年新</w:t>
            </w:r>
            <w:r>
              <w:rPr>
                <w:rFonts w:hint="eastAsia" w:ascii="仿宋_GB2312" w:hAnsi="宋体"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hAnsi="宋体" w:eastAsia="仿宋_GB2312" w:cs="宋体"/>
                <w:kern w:val="0"/>
                <w:sz w:val="32"/>
                <w:szCs w:val="32"/>
              </w:rPr>
              <w:t>制作数量</w:t>
            </w:r>
          </w:p>
        </w:tc>
        <w:tc>
          <w:tcPr>
            <w:tcW w:w="102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本年新</w:t>
            </w:r>
            <w:r>
              <w:rPr>
                <w:rFonts w:hint="eastAsia" w:ascii="仿宋_GB2312" w:hAnsi="宋体"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hAnsi="宋体" w:eastAsia="仿宋_GB2312" w:cs="宋体"/>
                <w:kern w:val="0"/>
                <w:sz w:val="32"/>
                <w:szCs w:val="32"/>
              </w:rPr>
              <w:t>公开数量</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对外公开总数量</w:t>
            </w:r>
          </w:p>
        </w:tc>
      </w:tr>
      <w:tr>
        <w:tblPrEx>
          <w:tblCellMar>
            <w:top w:w="15" w:type="dxa"/>
            <w:left w:w="15" w:type="dxa"/>
            <w:bottom w:w="15" w:type="dxa"/>
            <w:right w:w="15" w:type="dxa"/>
          </w:tblCellMar>
        </w:tblPrEx>
        <w:trPr>
          <w:trHeight w:val="420"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规章</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c>
          <w:tcPr>
            <w:tcW w:w="102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r>
      <w:tr>
        <w:tblPrEx>
          <w:tblCellMar>
            <w:top w:w="15" w:type="dxa"/>
            <w:left w:w="15" w:type="dxa"/>
            <w:bottom w:w="15" w:type="dxa"/>
            <w:right w:w="15" w:type="dxa"/>
          </w:tblCellMar>
        </w:tblPrEx>
        <w:trPr>
          <w:trHeight w:val="372"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规范性文件</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w:t>
            </w:r>
          </w:p>
        </w:tc>
        <w:tc>
          <w:tcPr>
            <w:tcW w:w="102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1</w:t>
            </w:r>
          </w:p>
        </w:tc>
      </w:tr>
      <w:tr>
        <w:tblPrEx>
          <w:tblCellMar>
            <w:top w:w="15" w:type="dxa"/>
            <w:left w:w="15" w:type="dxa"/>
            <w:bottom w:w="15" w:type="dxa"/>
            <w:right w:w="15" w:type="dxa"/>
          </w:tblCellMar>
        </w:tblPrEx>
        <w:trPr>
          <w:trHeight w:val="384" w:hRule="atLeast"/>
        </w:trPr>
        <w:tc>
          <w:tcPr>
            <w:tcW w:w="6516" w:type="dxa"/>
            <w:gridSpan w:val="5"/>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第二十条第（五）项</w:t>
            </w:r>
          </w:p>
        </w:tc>
      </w:tr>
      <w:tr>
        <w:tblPrEx>
          <w:tblCellMar>
            <w:top w:w="15" w:type="dxa"/>
            <w:left w:w="15" w:type="dxa"/>
            <w:bottom w:w="15" w:type="dxa"/>
            <w:right w:w="15" w:type="dxa"/>
          </w:tblCellMar>
        </w:tblPrEx>
        <w:trPr>
          <w:trHeight w:val="504"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上一年项目数量</w:t>
            </w:r>
          </w:p>
        </w:tc>
        <w:tc>
          <w:tcPr>
            <w:tcW w:w="102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本年增/减</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处理决定数量</w:t>
            </w:r>
          </w:p>
        </w:tc>
      </w:tr>
      <w:tr>
        <w:tblPrEx>
          <w:tblCellMar>
            <w:top w:w="15" w:type="dxa"/>
            <w:left w:w="15" w:type="dxa"/>
            <w:bottom w:w="15" w:type="dxa"/>
            <w:right w:w="15" w:type="dxa"/>
          </w:tblCellMar>
        </w:tblPrEx>
        <w:trPr>
          <w:trHeight w:val="420"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行政许可</w:t>
            </w:r>
          </w:p>
        </w:tc>
        <w:tc>
          <w:tcPr>
            <w:tcW w:w="150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c>
          <w:tcPr>
            <w:tcW w:w="10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r>
      <w:tr>
        <w:tblPrEx>
          <w:tblCellMar>
            <w:top w:w="15" w:type="dxa"/>
            <w:left w:w="15" w:type="dxa"/>
            <w:bottom w:w="15" w:type="dxa"/>
            <w:right w:w="15" w:type="dxa"/>
          </w:tblCellMar>
        </w:tblPrEx>
        <w:trPr>
          <w:trHeight w:val="444"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其他对外管理服务事项</w:t>
            </w:r>
          </w:p>
        </w:tc>
        <w:tc>
          <w:tcPr>
            <w:tcW w:w="150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c>
          <w:tcPr>
            <w:tcW w:w="10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r>
      <w:tr>
        <w:tblPrEx>
          <w:tblCellMar>
            <w:top w:w="15" w:type="dxa"/>
            <w:left w:w="15" w:type="dxa"/>
            <w:bottom w:w="15" w:type="dxa"/>
            <w:right w:w="15" w:type="dxa"/>
          </w:tblCellMar>
        </w:tblPrEx>
        <w:trPr>
          <w:trHeight w:val="324" w:hRule="atLeast"/>
        </w:trPr>
        <w:tc>
          <w:tcPr>
            <w:tcW w:w="6516" w:type="dxa"/>
            <w:gridSpan w:val="5"/>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第二十条第（六）项</w:t>
            </w:r>
          </w:p>
        </w:tc>
      </w:tr>
      <w:tr>
        <w:tblPrEx>
          <w:tblCellMar>
            <w:top w:w="15" w:type="dxa"/>
            <w:left w:w="15" w:type="dxa"/>
            <w:bottom w:w="15" w:type="dxa"/>
            <w:right w:w="15" w:type="dxa"/>
          </w:tblCellMar>
        </w:tblPrEx>
        <w:trPr>
          <w:trHeight w:val="504"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上一年项目数量</w:t>
            </w:r>
          </w:p>
        </w:tc>
        <w:tc>
          <w:tcPr>
            <w:tcW w:w="102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本年增/减</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处理决定数量</w:t>
            </w:r>
          </w:p>
        </w:tc>
      </w:tr>
      <w:tr>
        <w:tblPrEx>
          <w:tblCellMar>
            <w:top w:w="15" w:type="dxa"/>
            <w:left w:w="15" w:type="dxa"/>
            <w:bottom w:w="15" w:type="dxa"/>
            <w:right w:w="15" w:type="dxa"/>
          </w:tblCellMar>
        </w:tblPrEx>
        <w:trPr>
          <w:trHeight w:val="348"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行政处罚</w:t>
            </w:r>
          </w:p>
        </w:tc>
        <w:tc>
          <w:tcPr>
            <w:tcW w:w="150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hint="eastAsia" w:ascii="仿宋_GB2312" w:hAnsi="宋体" w:eastAsia="仿宋_GB2312" w:cs="宋体"/>
                <w:kern w:val="0"/>
                <w:sz w:val="32"/>
                <w:szCs w:val="32"/>
                <w:lang w:eastAsia="zh-CN"/>
              </w:rPr>
            </w:pPr>
            <w:r>
              <w:rPr>
                <w:rFonts w:hint="eastAsia" w:ascii="仿宋_GB2312" w:hAnsi="宋体" w:eastAsia="仿宋_GB2312" w:cs="宋体"/>
                <w:color w:val="000000"/>
                <w:kern w:val="0"/>
                <w:sz w:val="32"/>
                <w:szCs w:val="32"/>
                <w:lang w:val="en-US" w:eastAsia="zh-CN"/>
              </w:rPr>
              <w:t>5</w:t>
            </w:r>
          </w:p>
        </w:tc>
        <w:tc>
          <w:tcPr>
            <w:tcW w:w="10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hint="eastAsia" w:ascii="仿宋_GB2312" w:hAnsi="宋体" w:eastAsia="仿宋_GB2312" w:cs="宋体"/>
                <w:kern w:val="0"/>
                <w:sz w:val="32"/>
                <w:szCs w:val="32"/>
                <w:lang w:eastAsia="zh-CN"/>
              </w:rPr>
            </w:pPr>
            <w:r>
              <w:rPr>
                <w:rFonts w:hint="eastAsia" w:ascii="仿宋_GB2312" w:hAnsi="宋体" w:eastAsia="仿宋_GB2312" w:cs="宋体"/>
                <w:color w:val="000000"/>
                <w:kern w:val="0"/>
                <w:sz w:val="32"/>
                <w:szCs w:val="32"/>
                <w:lang w:val="en-US" w:eastAsia="zh-CN"/>
              </w:rPr>
              <w:t>减</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hint="eastAsia" w:ascii="仿宋_GB2312" w:hAnsi="宋体" w:eastAsia="仿宋_GB2312" w:cs="宋体"/>
                <w:kern w:val="0"/>
                <w:sz w:val="32"/>
                <w:szCs w:val="32"/>
                <w:lang w:eastAsia="zh-CN"/>
              </w:rPr>
            </w:pPr>
            <w:r>
              <w:rPr>
                <w:rFonts w:hint="eastAsia" w:ascii="仿宋_GB2312" w:hAnsi="宋体" w:eastAsia="仿宋_GB2312" w:cs="宋体"/>
                <w:color w:val="000000"/>
                <w:kern w:val="0"/>
                <w:sz w:val="32"/>
                <w:szCs w:val="32"/>
                <w:lang w:val="en-US" w:eastAsia="zh-CN"/>
              </w:rPr>
              <w:t>5</w:t>
            </w:r>
          </w:p>
        </w:tc>
      </w:tr>
      <w:tr>
        <w:tblPrEx>
          <w:tblCellMar>
            <w:top w:w="15" w:type="dxa"/>
            <w:left w:w="15" w:type="dxa"/>
            <w:bottom w:w="15" w:type="dxa"/>
            <w:right w:w="15" w:type="dxa"/>
          </w:tblCellMar>
        </w:tblPrEx>
        <w:trPr>
          <w:trHeight w:val="324"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行政强制</w:t>
            </w:r>
          </w:p>
        </w:tc>
        <w:tc>
          <w:tcPr>
            <w:tcW w:w="150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c>
          <w:tcPr>
            <w:tcW w:w="10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c>
          <w:tcPr>
            <w:tcW w:w="15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r>
      <w:tr>
        <w:tblPrEx>
          <w:tblCellMar>
            <w:top w:w="15" w:type="dxa"/>
            <w:left w:w="15" w:type="dxa"/>
            <w:bottom w:w="15" w:type="dxa"/>
            <w:right w:w="15" w:type="dxa"/>
          </w:tblCellMar>
        </w:tblPrEx>
        <w:trPr>
          <w:trHeight w:val="384" w:hRule="atLeast"/>
        </w:trPr>
        <w:tc>
          <w:tcPr>
            <w:tcW w:w="6516" w:type="dxa"/>
            <w:gridSpan w:val="5"/>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第二十条第（八）项</w:t>
            </w:r>
          </w:p>
        </w:tc>
      </w:tr>
      <w:tr>
        <w:tblPrEx>
          <w:tblCellMar>
            <w:top w:w="15" w:type="dxa"/>
            <w:left w:w="15" w:type="dxa"/>
            <w:bottom w:w="15" w:type="dxa"/>
            <w:right w:w="15" w:type="dxa"/>
          </w:tblCellMar>
        </w:tblPrEx>
        <w:trPr>
          <w:trHeight w:val="216"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50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上一年项目数量</w:t>
            </w:r>
          </w:p>
        </w:tc>
        <w:tc>
          <w:tcPr>
            <w:tcW w:w="2520" w:type="dxa"/>
            <w:gridSpan w:val="2"/>
            <w:tcBorders>
              <w:top w:val="nil"/>
              <w:left w:val="nil"/>
              <w:bottom w:val="single" w:color="auto" w:sz="4" w:space="0"/>
              <w:right w:val="single" w:color="000000"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本年增/减</w:t>
            </w:r>
          </w:p>
        </w:tc>
      </w:tr>
      <w:tr>
        <w:tblPrEx>
          <w:tblCellMar>
            <w:top w:w="15" w:type="dxa"/>
            <w:left w:w="15" w:type="dxa"/>
            <w:bottom w:w="15" w:type="dxa"/>
            <w:right w:w="15" w:type="dxa"/>
          </w:tblCellMar>
        </w:tblPrEx>
        <w:trPr>
          <w:trHeight w:val="324"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行政事业性收费</w:t>
            </w:r>
          </w:p>
        </w:tc>
        <w:tc>
          <w:tcPr>
            <w:tcW w:w="150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c>
          <w:tcPr>
            <w:tcW w:w="2520" w:type="dxa"/>
            <w:gridSpan w:val="2"/>
            <w:tcBorders>
              <w:top w:val="nil"/>
              <w:left w:val="nil"/>
              <w:bottom w:val="single" w:color="auto" w:sz="4" w:space="0"/>
              <w:right w:val="single" w:color="000000"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r>
      <w:tr>
        <w:tblPrEx>
          <w:tblCellMar>
            <w:top w:w="15" w:type="dxa"/>
            <w:left w:w="15" w:type="dxa"/>
            <w:bottom w:w="15" w:type="dxa"/>
            <w:right w:w="15" w:type="dxa"/>
          </w:tblCellMar>
        </w:tblPrEx>
        <w:trPr>
          <w:trHeight w:val="384" w:hRule="atLeast"/>
        </w:trPr>
        <w:tc>
          <w:tcPr>
            <w:tcW w:w="6516" w:type="dxa"/>
            <w:gridSpan w:val="5"/>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第二十条第（九）项</w:t>
            </w:r>
          </w:p>
        </w:tc>
      </w:tr>
      <w:tr>
        <w:tblPrEx>
          <w:tblCellMar>
            <w:top w:w="15" w:type="dxa"/>
            <w:left w:w="15" w:type="dxa"/>
            <w:bottom w:w="15" w:type="dxa"/>
            <w:right w:w="15" w:type="dxa"/>
          </w:tblCellMar>
        </w:tblPrEx>
        <w:trPr>
          <w:trHeight w:val="468"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信息内容</w:t>
            </w:r>
          </w:p>
        </w:tc>
        <w:tc>
          <w:tcPr>
            <w:tcW w:w="150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采购项目数量</w:t>
            </w:r>
          </w:p>
        </w:tc>
        <w:tc>
          <w:tcPr>
            <w:tcW w:w="2520" w:type="dxa"/>
            <w:gridSpan w:val="2"/>
            <w:tcBorders>
              <w:top w:val="nil"/>
              <w:left w:val="nil"/>
              <w:bottom w:val="single" w:color="auto" w:sz="4" w:space="0"/>
              <w:right w:val="single" w:color="000000"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采购总金额</w:t>
            </w:r>
          </w:p>
        </w:tc>
      </w:tr>
      <w:tr>
        <w:tblPrEx>
          <w:tblCellMar>
            <w:top w:w="15" w:type="dxa"/>
            <w:left w:w="15" w:type="dxa"/>
            <w:bottom w:w="15" w:type="dxa"/>
            <w:right w:w="15" w:type="dxa"/>
          </w:tblCellMar>
        </w:tblPrEx>
        <w:trPr>
          <w:trHeight w:val="432" w:hRule="atLeast"/>
        </w:trPr>
        <w:tc>
          <w:tcPr>
            <w:tcW w:w="2496"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政府集中采购</w:t>
            </w:r>
          </w:p>
        </w:tc>
        <w:tc>
          <w:tcPr>
            <w:tcW w:w="1500"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0</w:t>
            </w:r>
          </w:p>
        </w:tc>
        <w:tc>
          <w:tcPr>
            <w:tcW w:w="2520" w:type="dxa"/>
            <w:gridSpan w:val="2"/>
            <w:tcBorders>
              <w:top w:val="nil"/>
              <w:left w:val="nil"/>
              <w:bottom w:val="single" w:color="auto" w:sz="4" w:space="0"/>
              <w:right w:val="single" w:color="000000"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c>
          <w:tcPr>
            <w:tcW w:w="3108" w:type="dxa"/>
            <w:tcBorders>
              <w:top w:val="nil"/>
              <w:left w:val="nil"/>
              <w:bottom w:val="nil"/>
              <w:right w:val="nil"/>
            </w:tcBorders>
            <w:tcMar>
              <w:top w:w="0" w:type="dxa"/>
              <w:left w:w="0" w:type="dxa"/>
              <w:bottom w:w="0" w:type="dxa"/>
              <w:right w:w="0" w:type="dxa"/>
            </w:tcMar>
            <w:vAlign w:val="center"/>
          </w:tcPr>
          <w:p>
            <w:pPr>
              <w:widowControl/>
              <w:jc w:val="left"/>
              <w:rPr>
                <w:rFonts w:ascii="仿宋_GB2312" w:hAnsi="宋体" w:eastAsia="仿宋_GB2312" w:cs="宋体"/>
                <w:kern w:val="0"/>
                <w:sz w:val="32"/>
                <w:szCs w:val="32"/>
              </w:rPr>
            </w:pPr>
          </w:p>
        </w:tc>
        <w:tc>
          <w:tcPr>
            <w:tcW w:w="1872" w:type="dxa"/>
            <w:tcBorders>
              <w:top w:val="nil"/>
              <w:left w:val="nil"/>
              <w:bottom w:val="nil"/>
              <w:right w:val="nil"/>
            </w:tcBorders>
            <w:tcMar>
              <w:top w:w="0" w:type="dxa"/>
              <w:left w:w="0" w:type="dxa"/>
              <w:bottom w:w="0" w:type="dxa"/>
              <w:right w:w="0" w:type="dxa"/>
            </w:tcMar>
            <w:vAlign w:val="center"/>
          </w:tcPr>
          <w:p>
            <w:pPr>
              <w:widowControl/>
              <w:jc w:val="left"/>
              <w:rPr>
                <w:rFonts w:ascii="仿宋_GB2312" w:hAnsi="宋体" w:eastAsia="仿宋_GB2312" w:cs="宋体"/>
                <w:kern w:val="0"/>
                <w:sz w:val="32"/>
                <w:szCs w:val="32"/>
              </w:rPr>
            </w:pPr>
          </w:p>
        </w:tc>
        <w:tc>
          <w:tcPr>
            <w:tcW w:w="12" w:type="dxa"/>
            <w:tcBorders>
              <w:top w:val="nil"/>
              <w:left w:val="nil"/>
              <w:bottom w:val="nil"/>
              <w:right w:val="nil"/>
            </w:tcBorders>
            <w:tcMar>
              <w:top w:w="0" w:type="dxa"/>
              <w:left w:w="0" w:type="dxa"/>
              <w:bottom w:w="0" w:type="dxa"/>
              <w:right w:w="0" w:type="dxa"/>
            </w:tcMar>
            <w:vAlign w:val="center"/>
          </w:tcPr>
          <w:p>
            <w:pPr>
              <w:widowControl/>
              <w:jc w:val="left"/>
              <w:rPr>
                <w:rFonts w:ascii="仿宋_GB2312" w:hAnsi="宋体" w:eastAsia="仿宋_GB2312" w:cs="宋体"/>
                <w:kern w:val="0"/>
                <w:sz w:val="32"/>
                <w:szCs w:val="32"/>
              </w:rPr>
            </w:pPr>
          </w:p>
        </w:tc>
        <w:tc>
          <w:tcPr>
            <w:tcW w:w="1260" w:type="dxa"/>
            <w:tcBorders>
              <w:top w:val="nil"/>
              <w:left w:val="nil"/>
              <w:bottom w:val="nil"/>
              <w:right w:val="nil"/>
            </w:tcBorders>
            <w:tcMar>
              <w:top w:w="0" w:type="dxa"/>
              <w:left w:w="0" w:type="dxa"/>
              <w:bottom w:w="0" w:type="dxa"/>
              <w:right w:w="0" w:type="dxa"/>
            </w:tcMar>
            <w:vAlign w:val="center"/>
          </w:tcPr>
          <w:p>
            <w:pPr>
              <w:widowControl/>
              <w:jc w:val="left"/>
              <w:rPr>
                <w:rFonts w:ascii="仿宋_GB2312" w:hAnsi="宋体" w:eastAsia="仿宋_GB2312" w:cs="宋体"/>
                <w:kern w:val="0"/>
                <w:sz w:val="32"/>
                <w:szCs w:val="32"/>
              </w:rPr>
            </w:pPr>
          </w:p>
        </w:tc>
        <w:tc>
          <w:tcPr>
            <w:tcW w:w="1884" w:type="dxa"/>
            <w:tcBorders>
              <w:top w:val="nil"/>
              <w:left w:val="nil"/>
              <w:bottom w:val="nil"/>
              <w:right w:val="nil"/>
            </w:tcBorders>
            <w:tcMar>
              <w:top w:w="0" w:type="dxa"/>
              <w:left w:w="0" w:type="dxa"/>
              <w:bottom w:w="0" w:type="dxa"/>
              <w:right w:w="0" w:type="dxa"/>
            </w:tcMar>
            <w:vAlign w:val="center"/>
          </w:tcPr>
          <w:p>
            <w:pPr>
              <w:widowControl/>
              <w:jc w:val="left"/>
              <w:rPr>
                <w:rFonts w:ascii="仿宋_GB2312" w:hAnsi="宋体" w:eastAsia="仿宋_GB2312" w:cs="宋体"/>
                <w:kern w:val="0"/>
                <w:sz w:val="32"/>
                <w:szCs w:val="32"/>
              </w:rPr>
            </w:pPr>
          </w:p>
        </w:tc>
      </w:tr>
    </w:tbl>
    <w:p>
      <w:pPr>
        <w:widowControl/>
        <w:shd w:val="clear" w:color="auto" w:fill="FFFFFF"/>
        <w:spacing w:after="180"/>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7"/>
        <w:tblW w:w="7308" w:type="dxa"/>
        <w:tblInd w:w="0" w:type="dxa"/>
        <w:tblLayout w:type="autofit"/>
        <w:tblCellMar>
          <w:top w:w="15" w:type="dxa"/>
          <w:left w:w="15" w:type="dxa"/>
          <w:bottom w:w="15" w:type="dxa"/>
          <w:right w:w="15" w:type="dxa"/>
        </w:tblCellMar>
      </w:tblPr>
      <w:tblGrid>
        <w:gridCol w:w="1083"/>
        <w:gridCol w:w="691"/>
        <w:gridCol w:w="691"/>
        <w:gridCol w:w="821"/>
        <w:gridCol w:w="821"/>
        <w:gridCol w:w="821"/>
        <w:gridCol w:w="821"/>
        <w:gridCol w:w="821"/>
        <w:gridCol w:w="952"/>
        <w:gridCol w:w="952"/>
      </w:tblGrid>
      <w:tr>
        <w:tblPrEx>
          <w:tblCellMar>
            <w:top w:w="15" w:type="dxa"/>
            <w:left w:w="15" w:type="dxa"/>
            <w:bottom w:w="15" w:type="dxa"/>
            <w:right w:w="15" w:type="dxa"/>
          </w:tblCellMar>
        </w:tblPrEx>
        <w:trPr>
          <w:trHeight w:val="276" w:hRule="atLeast"/>
        </w:trPr>
        <w:tc>
          <w:tcPr>
            <w:tcW w:w="2964" w:type="dxa"/>
            <w:gridSpan w:val="3"/>
            <w:vMerge w:val="restart"/>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（本列数据的勾稽关系为：第一项加第二项之和，等于第三项加第四项之和）</w:t>
            </w:r>
          </w:p>
        </w:tc>
        <w:tc>
          <w:tcPr>
            <w:tcW w:w="4344" w:type="dxa"/>
            <w:gridSpan w:val="7"/>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申请人情况</w:t>
            </w:r>
          </w:p>
        </w:tc>
      </w:tr>
      <w:tr>
        <w:tblPrEx>
          <w:tblCellMar>
            <w:top w:w="15" w:type="dxa"/>
            <w:left w:w="15" w:type="dxa"/>
            <w:bottom w:w="15" w:type="dxa"/>
            <w:right w:w="15" w:type="dxa"/>
          </w:tblCellMar>
        </w:tblPrEx>
        <w:trPr>
          <w:trHeight w:val="288"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576" w:type="dxa"/>
            <w:vMerge w:val="restart"/>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自然人</w:t>
            </w:r>
          </w:p>
        </w:tc>
        <w:tc>
          <w:tcPr>
            <w:tcW w:w="3204" w:type="dxa"/>
            <w:gridSpan w:val="5"/>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法人或其他组织</w:t>
            </w:r>
          </w:p>
        </w:tc>
        <w:tc>
          <w:tcPr>
            <w:tcW w:w="552" w:type="dxa"/>
            <w:vMerge w:val="restart"/>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总计</w:t>
            </w:r>
          </w:p>
        </w:tc>
      </w:tr>
      <w:tr>
        <w:tblPrEx>
          <w:tblCellMar>
            <w:top w:w="15" w:type="dxa"/>
            <w:left w:w="15" w:type="dxa"/>
            <w:bottom w:w="15" w:type="dxa"/>
            <w:right w:w="15" w:type="dxa"/>
          </w:tblCellMar>
        </w:tblPrEx>
        <w:trPr>
          <w:trHeight w:val="552"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商业企业</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科研机构</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社会公益组织</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法律服务机构</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其他</w:t>
            </w: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r>
      <w:tr>
        <w:tblPrEx>
          <w:tblCellMar>
            <w:top w:w="15" w:type="dxa"/>
            <w:left w:w="15" w:type="dxa"/>
            <w:bottom w:w="15" w:type="dxa"/>
            <w:right w:w="15" w:type="dxa"/>
          </w:tblCellMar>
        </w:tblPrEx>
        <w:trPr>
          <w:trHeight w:val="276" w:hRule="atLeast"/>
        </w:trPr>
        <w:tc>
          <w:tcPr>
            <w:tcW w:w="2964" w:type="dxa"/>
            <w:gridSpan w:val="3"/>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一、本年新收政府信息公开申请数量</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76" w:hRule="atLeast"/>
        </w:trPr>
        <w:tc>
          <w:tcPr>
            <w:tcW w:w="2964" w:type="dxa"/>
            <w:gridSpan w:val="3"/>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二、上年结转政府信息公开申请数量</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76" w:hRule="atLeast"/>
        </w:trPr>
        <w:tc>
          <w:tcPr>
            <w:tcW w:w="492" w:type="dxa"/>
            <w:vMerge w:val="restart"/>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三、本年度办理结果</w:t>
            </w:r>
          </w:p>
        </w:tc>
        <w:tc>
          <w:tcPr>
            <w:tcW w:w="2472"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56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2472"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660" w:type="dxa"/>
            <w:vMerge w:val="restart"/>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55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7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55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7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56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660" w:type="dxa"/>
            <w:vMerge w:val="restart"/>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55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56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76"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660" w:type="dxa"/>
            <w:vMerge w:val="restart"/>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56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55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181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r>
              <w:rPr>
                <w:rFonts w:hint="eastAsia" w:ascii="宋体" w:hAnsi="宋体" w:eastAsia="仿宋_GB2312" w:cs="宋体"/>
                <w:kern w:val="0"/>
                <w:sz w:val="32"/>
                <w:szCs w:val="32"/>
              </w:rPr>
              <w:t> </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r>
              <w:rPr>
                <w:rFonts w:hint="eastAsia" w:ascii="宋体" w:hAnsi="宋体" w:eastAsia="仿宋_GB2312" w:cs="宋体"/>
                <w:kern w:val="0"/>
                <w:sz w:val="32"/>
                <w:szCs w:val="32"/>
              </w:rPr>
              <w:t> </w:t>
            </w:r>
          </w:p>
        </w:tc>
      </w:tr>
      <w:tr>
        <w:tblPrEx>
          <w:tblCellMar>
            <w:top w:w="15" w:type="dxa"/>
            <w:left w:w="15" w:type="dxa"/>
            <w:bottom w:w="15" w:type="dxa"/>
            <w:right w:w="15"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2472"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28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2472" w:type="dxa"/>
            <w:gridSpan w:val="2"/>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r>
        <w:tblPrEx>
          <w:tblCellMar>
            <w:top w:w="15" w:type="dxa"/>
            <w:left w:w="15" w:type="dxa"/>
            <w:bottom w:w="15" w:type="dxa"/>
            <w:right w:w="15" w:type="dxa"/>
          </w:tblCellMar>
        </w:tblPrEx>
        <w:trPr>
          <w:trHeight w:val="384" w:hRule="atLeast"/>
        </w:trPr>
        <w:tc>
          <w:tcPr>
            <w:tcW w:w="2964" w:type="dxa"/>
            <w:gridSpan w:val="3"/>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四、结转下年度继续办理</w:t>
            </w:r>
          </w:p>
        </w:tc>
        <w:tc>
          <w:tcPr>
            <w:tcW w:w="576"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60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0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72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6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52"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bl>
    <w:p>
      <w:pPr>
        <w:widowControl/>
        <w:shd w:val="clear" w:color="auto" w:fill="FFFFFF"/>
        <w:spacing w:after="180"/>
        <w:ind w:firstLine="480"/>
        <w:jc w:val="left"/>
        <w:rPr>
          <w:rFonts w:ascii="仿宋_GB2312" w:hAnsi="微软雅黑" w:eastAsia="仿宋_GB2312" w:cs="宋体"/>
          <w:color w:val="000000"/>
          <w:kern w:val="0"/>
          <w:sz w:val="32"/>
          <w:szCs w:val="32"/>
        </w:rPr>
      </w:pPr>
    </w:p>
    <w:p>
      <w:pPr>
        <w:widowControl/>
        <w:shd w:val="clear" w:color="auto" w:fill="FFFFFF"/>
        <w:spacing w:after="180"/>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tbl>
      <w:tblPr>
        <w:tblStyle w:val="7"/>
        <w:tblW w:w="7260" w:type="dxa"/>
        <w:tblInd w:w="0" w:type="dxa"/>
        <w:tblLayout w:type="autofit"/>
        <w:tblCellMar>
          <w:top w:w="15" w:type="dxa"/>
          <w:left w:w="15" w:type="dxa"/>
          <w:bottom w:w="15" w:type="dxa"/>
          <w:right w:w="15" w:type="dxa"/>
        </w:tblCellMar>
      </w:tblPr>
      <w:tblGrid>
        <w:gridCol w:w="564"/>
        <w:gridCol w:w="565"/>
        <w:gridCol w:w="565"/>
        <w:gridCol w:w="565"/>
        <w:gridCol w:w="565"/>
        <w:gridCol w:w="565"/>
        <w:gridCol w:w="565"/>
        <w:gridCol w:w="565"/>
        <w:gridCol w:w="565"/>
        <w:gridCol w:w="565"/>
        <w:gridCol w:w="565"/>
        <w:gridCol w:w="565"/>
        <w:gridCol w:w="565"/>
        <w:gridCol w:w="565"/>
        <w:gridCol w:w="565"/>
      </w:tblGrid>
      <w:tr>
        <w:tblPrEx>
          <w:tblCellMar>
            <w:top w:w="15" w:type="dxa"/>
            <w:left w:w="15" w:type="dxa"/>
            <w:bottom w:w="15" w:type="dxa"/>
            <w:right w:w="15" w:type="dxa"/>
          </w:tblCellMar>
        </w:tblPrEx>
        <w:tc>
          <w:tcPr>
            <w:tcW w:w="2460" w:type="dxa"/>
            <w:gridSpan w:val="5"/>
            <w:tcBorders>
              <w:top w:val="single" w:color="auto" w:sz="4" w:space="0"/>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行政复议</w:t>
            </w:r>
          </w:p>
        </w:tc>
        <w:tc>
          <w:tcPr>
            <w:tcW w:w="4800" w:type="dxa"/>
            <w:gridSpan w:val="10"/>
            <w:tcBorders>
              <w:top w:val="single" w:color="auto" w:sz="4" w:space="0"/>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行政诉讼</w:t>
            </w:r>
          </w:p>
        </w:tc>
      </w:tr>
      <w:tr>
        <w:tblPrEx>
          <w:tblCellMar>
            <w:top w:w="15" w:type="dxa"/>
            <w:left w:w="15" w:type="dxa"/>
            <w:bottom w:w="15" w:type="dxa"/>
            <w:right w:w="15" w:type="dxa"/>
          </w:tblCellMar>
        </w:tblPrEx>
        <w:tc>
          <w:tcPr>
            <w:tcW w:w="480" w:type="dxa"/>
            <w:vMerge w:val="restart"/>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结果维持</w:t>
            </w:r>
          </w:p>
        </w:tc>
        <w:tc>
          <w:tcPr>
            <w:tcW w:w="480" w:type="dxa"/>
            <w:vMerge w:val="restart"/>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结果纠正</w:t>
            </w:r>
          </w:p>
        </w:tc>
        <w:tc>
          <w:tcPr>
            <w:tcW w:w="480" w:type="dxa"/>
            <w:vMerge w:val="restart"/>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其他结果</w:t>
            </w:r>
          </w:p>
        </w:tc>
        <w:tc>
          <w:tcPr>
            <w:tcW w:w="480" w:type="dxa"/>
            <w:vMerge w:val="restart"/>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尚未审结</w:t>
            </w:r>
          </w:p>
        </w:tc>
        <w:tc>
          <w:tcPr>
            <w:tcW w:w="528" w:type="dxa"/>
            <w:vMerge w:val="restart"/>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总计</w:t>
            </w:r>
          </w:p>
        </w:tc>
        <w:tc>
          <w:tcPr>
            <w:tcW w:w="2376" w:type="dxa"/>
            <w:gridSpan w:val="5"/>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未经复议直接起诉</w:t>
            </w:r>
          </w:p>
        </w:tc>
        <w:tc>
          <w:tcPr>
            <w:tcW w:w="2424" w:type="dxa"/>
            <w:gridSpan w:val="5"/>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复议后起诉</w:t>
            </w:r>
          </w:p>
        </w:tc>
      </w:tr>
      <w:tr>
        <w:tblPrEx>
          <w:tblCellMar>
            <w:top w:w="15" w:type="dxa"/>
            <w:left w:w="15" w:type="dxa"/>
            <w:bottom w:w="15" w:type="dxa"/>
            <w:right w:w="15" w:type="dxa"/>
          </w:tblCellMar>
        </w:tblPrEx>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0" w:type="auto"/>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32"/>
                <w:szCs w:val="32"/>
              </w:rPr>
            </w:pPr>
          </w:p>
        </w:tc>
        <w:tc>
          <w:tcPr>
            <w:tcW w:w="44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结果维持</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结果纠正</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其他结果</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尚未审结</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总计</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结果维持</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结果纠正</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其他结果</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尚未审结</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总计</w:t>
            </w:r>
          </w:p>
        </w:tc>
      </w:tr>
      <w:tr>
        <w:tblPrEx>
          <w:tblCellMar>
            <w:top w:w="15" w:type="dxa"/>
            <w:left w:w="15" w:type="dxa"/>
            <w:bottom w:w="15" w:type="dxa"/>
            <w:right w:w="15" w:type="dxa"/>
          </w:tblCellMar>
        </w:tblPrEx>
        <w:trPr>
          <w:trHeight w:val="756" w:hRule="atLeast"/>
        </w:trPr>
        <w:tc>
          <w:tcPr>
            <w:tcW w:w="480" w:type="dxa"/>
            <w:tcBorders>
              <w:top w:val="nil"/>
              <w:left w:val="single" w:color="auto" w:sz="4" w:space="0"/>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528"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44"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c>
          <w:tcPr>
            <w:tcW w:w="480" w:type="dxa"/>
            <w:tcBorders>
              <w:top w:val="nil"/>
              <w:left w:val="nil"/>
              <w:bottom w:val="single" w:color="auto" w:sz="4" w:space="0"/>
              <w:right w:val="single" w:color="auto" w:sz="4" w:space="0"/>
            </w:tcBorders>
            <w:tcMar>
              <w:top w:w="0" w:type="dxa"/>
              <w:left w:w="84" w:type="dxa"/>
              <w:bottom w:w="0" w:type="dxa"/>
              <w:right w:w="84" w:type="dxa"/>
            </w:tcMar>
            <w:vAlign w:val="center"/>
          </w:tcPr>
          <w:p>
            <w:pPr>
              <w:widowControl/>
              <w:spacing w:after="180"/>
              <w:ind w:firstLine="48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0</w:t>
            </w:r>
          </w:p>
        </w:tc>
      </w:tr>
    </w:tbl>
    <w:p>
      <w:pPr>
        <w:widowControl/>
        <w:shd w:val="clear" w:color="auto" w:fill="FFFFFF"/>
        <w:spacing w:after="180"/>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五、政府信息公开工作存在的主要问题及改进情况</w:t>
      </w:r>
    </w:p>
    <w:p>
      <w:pPr>
        <w:widowControl/>
        <w:shd w:val="clear" w:color="auto" w:fill="FFFFFF"/>
        <w:spacing w:after="180"/>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2020年，我局在政府信息公开的信息数量、工作效率方面虽然比2019年明显增加，但相比于群众的期望还是有所欠缺。主要是政务公开内容更新速度方面提升有待加强等。下一步，我局将继续严格贯彻《中华人民共和国政府信息公开条例》及省、市、区有关政务公开的要求和相关文件精神，不断完善政府信息公开内容，加强宣传力度，拓宽信息公开渠道，提高信息公开效率，大力拓展政务信息公开的深度和广度，不断提高我局政府信息的时效性和专业性，提高政府信息公开工作的质量和水平。各类信息按照“应公开、尽公开”的要求及时公开并进一步完善门户网站，为群众查询和监督</w:t>
      </w:r>
      <w:r>
        <w:rPr>
          <w:rFonts w:hint="eastAsia" w:ascii="仿宋_GB2312" w:hAnsi="微软雅黑" w:eastAsia="仿宋_GB2312" w:cs="宋体"/>
          <w:color w:val="000000"/>
          <w:kern w:val="0"/>
          <w:sz w:val="32"/>
          <w:szCs w:val="32"/>
          <w:lang w:val="en-US" w:eastAsia="zh-CN"/>
        </w:rPr>
        <w:t>农业农村</w:t>
      </w:r>
      <w:bookmarkStart w:id="0" w:name="_GoBack"/>
      <w:bookmarkEnd w:id="0"/>
      <w:r>
        <w:rPr>
          <w:rFonts w:hint="eastAsia" w:ascii="仿宋_GB2312" w:hAnsi="微软雅黑" w:eastAsia="仿宋_GB2312" w:cs="宋体"/>
          <w:color w:val="000000"/>
          <w:kern w:val="0"/>
          <w:sz w:val="32"/>
          <w:szCs w:val="32"/>
        </w:rPr>
        <w:t>政务信息提供更便利便民的渠道和信息。</w:t>
      </w:r>
    </w:p>
    <w:p>
      <w:pPr>
        <w:widowControl/>
        <w:shd w:val="clear" w:color="auto" w:fill="FFFFFF"/>
        <w:spacing w:after="180"/>
        <w:ind w:firstLine="48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shd w:val="clear" w:color="auto" w:fill="FFFFFF"/>
        <w:spacing w:after="180"/>
        <w:ind w:firstLine="480"/>
        <w:jc w:val="left"/>
        <w:rPr>
          <w:rFonts w:ascii="仿宋_GB2312" w:hAnsi="微软雅黑" w:eastAsia="仿宋_GB2312" w:cs="宋体"/>
          <w:color w:val="000000"/>
          <w:kern w:val="0"/>
          <w:sz w:val="32"/>
          <w:szCs w:val="32"/>
        </w:rPr>
      </w:pPr>
      <w:r>
        <w:rPr>
          <w:rFonts w:hint="eastAsia" w:ascii="仿宋_GB2312" w:hAnsi="微软雅黑" w:eastAsia="仿宋_GB2312" w:cs="宋体"/>
          <w:color w:val="212529"/>
          <w:kern w:val="0"/>
          <w:sz w:val="32"/>
          <w:szCs w:val="32"/>
          <w:shd w:val="clear" w:color="auto" w:fill="FFFFFF"/>
        </w:rPr>
        <w:t>2020年无其他需要报告的事项。</w:t>
      </w:r>
    </w:p>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w:panose1 w:val="020B0604020202020204"/>
    <w:charset w:val="00"/>
    <w:family w:val=""/>
    <w:pitch w:val="default"/>
    <w:sig w:usb0="E0002EFF" w:usb1="C000785B" w:usb2="00000009" w:usb3="00000000" w:csb0="400001FF" w:csb1="FFFF0000"/>
  </w:font>
  <w:font w:name="微软雅黑 Light">
    <w:panose1 w:val="020B0502040204020203"/>
    <w:charset w:val="86"/>
    <w:family w:val="swiss"/>
    <w:pitch w:val="variable"/>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91"/>
    <w:rsid w:val="00222D5E"/>
    <w:rsid w:val="002344A4"/>
    <w:rsid w:val="0035682F"/>
    <w:rsid w:val="004A5B77"/>
    <w:rsid w:val="00543512"/>
    <w:rsid w:val="00627811"/>
    <w:rsid w:val="0077797D"/>
    <w:rsid w:val="00A20299"/>
    <w:rsid w:val="00AE6B91"/>
    <w:rsid w:val="00BD6F5A"/>
    <w:rsid w:val="00C433EF"/>
    <w:rsid w:val="00DE6500"/>
    <w:rsid w:val="00E04C4B"/>
    <w:rsid w:val="00E10FCF"/>
    <w:rsid w:val="00E56331"/>
    <w:rsid w:val="00E850DB"/>
    <w:rsid w:val="19332044"/>
    <w:rsid w:val="1FD208FA"/>
    <w:rsid w:val="3AE15007"/>
    <w:rsid w:val="75F0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2 Char"/>
    <w:basedOn w:val="8"/>
    <w:link w:val="2"/>
    <w:uiPriority w:val="9"/>
    <w:rPr>
      <w:rFonts w:ascii="宋体" w:hAnsi="宋体" w:eastAsia="宋体" w:cs="宋体"/>
      <w:b/>
      <w:bCs/>
      <w:kern w:val="0"/>
      <w:sz w:val="36"/>
      <w:szCs w:val="36"/>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薛城区农业农村局</a:t>
            </a:r>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2020</a:t>
            </a:r>
            <a:r>
              <a:rPr altLang="en-US"/>
              <a:t>年政府信息公开情况分析</a:t>
            </a:r>
            <a:endParaRPr lang="en-US" altLang="zh-CN"/>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Sheet1!$A$2:$A$8</c:f>
              <c:strCache>
                <c:ptCount val="7"/>
                <c:pt idx="0">
                  <c:v>人大政协提案</c:v>
                </c:pt>
                <c:pt idx="1">
                  <c:v>日常监督检查</c:v>
                </c:pt>
                <c:pt idx="2">
                  <c:v>农业重点领域信息公开</c:v>
                </c:pt>
                <c:pt idx="3">
                  <c:v>会议公开信息</c:v>
                </c:pt>
                <c:pt idx="4">
                  <c:v>政策解读</c:v>
                </c:pt>
                <c:pt idx="5">
                  <c:v>规范性文件</c:v>
                </c:pt>
                <c:pt idx="6">
                  <c:v>其他信息</c:v>
                </c:pt>
              </c:strCache>
            </c:strRef>
          </c:cat>
          <c:val>
            <c:numRef>
              <c:f>Sheet1!$B$2:$B$8</c:f>
              <c:numCache>
                <c:formatCode>General</c:formatCode>
                <c:ptCount val="7"/>
                <c:pt idx="0">
                  <c:v>10</c:v>
                </c:pt>
                <c:pt idx="1">
                  <c:v>6</c:v>
                </c:pt>
                <c:pt idx="2">
                  <c:v>3</c:v>
                </c:pt>
                <c:pt idx="3">
                  <c:v>2</c:v>
                </c:pt>
                <c:pt idx="4">
                  <c:v>2</c:v>
                </c:pt>
                <c:pt idx="5">
                  <c:v>1</c:v>
                </c:pt>
                <c:pt idx="6">
                  <c:v>28</c:v>
                </c:pt>
              </c:numCache>
            </c:numRef>
          </c:val>
        </c:ser>
        <c:dLbls>
          <c:showLegendKey val="0"/>
          <c:showVal val="0"/>
          <c:showCatName val="0"/>
          <c:showSerName val="0"/>
          <c:showPercent val="0"/>
          <c:showBubbleSize val="0"/>
        </c:dLbls>
        <c:gapWidth val="219"/>
        <c:overlap val="-27"/>
        <c:axId val="826889274"/>
        <c:axId val="374010609"/>
        <c:extLst>
          <c:ext xmlns:c15="http://schemas.microsoft.com/office/drawing/2012/chart" uri="{02D57815-91ED-43cb-92C2-25804820EDAC}">
            <c15:filteredBarSeries>
              <c15:ser>
                <c:idx val="1"/>
                <c:order val="1"/>
                <c:spPr>
                  <a:solidFill>
                    <a:schemeClr val="accent2"/>
                  </a:solidFill>
                  <a:ln>
                    <a:noFill/>
                  </a:ln>
                  <a:effectLst/>
                </c:spPr>
                <c:invertIfNegative val="0"/>
                <c:dLbls>
                  <c:delete val="1"/>
                </c:dLbls>
                <c:cat>
                  <c:strRef>
                    <c:extLst>
                      <c:ext uri="{02D57815-91ED-43cb-92C2-25804820EDAC}">
                        <c15:fullRef>
                          <c15:sqref/>
                        </c15:fullRef>
                        <c15:formulaRef>
                          <c15:sqref>Sheet1!$A$2:$A$8</c15:sqref>
                        </c15:formulaRef>
                      </c:ext>
                    </c:extLst>
                    <c:strCache>
                      <c:ptCount val="7"/>
                      <c:pt idx="0">
                        <c:v>人大政协提案</c:v>
                      </c:pt>
                      <c:pt idx="1">
                        <c:v>日常监督检查</c:v>
                      </c:pt>
                      <c:pt idx="2">
                        <c:v>农业重点领域信息公开</c:v>
                      </c:pt>
                      <c:pt idx="3">
                        <c:v>会议公开信息</c:v>
                      </c:pt>
                      <c:pt idx="4">
                        <c:v>政策解读</c:v>
                      </c:pt>
                      <c:pt idx="5">
                        <c:v>规范性文件</c:v>
                      </c:pt>
                      <c:pt idx="6">
                        <c:v>其他信息</c:v>
                      </c:pt>
                    </c:strCache>
                  </c:strRef>
                </c:cat>
                <c:val>
                  <c:numRef>
                    <c:extLst>
                      <c:ext uri="{02D57815-91ED-43cb-92C2-25804820EDAC}">
                        <c15:formulaRef>
                          <c15:sqref>Sheet1!$C$2:$C$8</c15:sqref>
                        </c15:formulaRef>
                      </c:ext>
                    </c:extLst>
                    <c:numCache>
                      <c:formatCode>General</c:formatCode>
                      <c:ptCount val="7"/>
                      <c:pt idx="0">
                        <c:v>2.4</c:v>
                      </c:pt>
                      <c:pt idx="1">
                        <c:v>4.4</c:v>
                      </c:pt>
                      <c:pt idx="2">
                        <c:v>1.8</c:v>
                      </c:pt>
                      <c:pt idx="3">
                        <c:v>2.8</c:v>
                      </c:pt>
                      <c:pt idx="4">
                        <c:v>2</c:v>
                      </c:pt>
                    </c:numCache>
                  </c:numRef>
                </c:val>
              </c15:ser>
            </c15:filteredBarSeries>
            <c15:filteredBarSeries>
              <c15:ser>
                <c:idx val="2"/>
                <c:order val="2"/>
                <c:spPr>
                  <a:solidFill>
                    <a:schemeClr val="accent3"/>
                  </a:solidFill>
                  <a:ln>
                    <a:noFill/>
                  </a:ln>
                  <a:effectLst/>
                </c:spPr>
                <c:invertIfNegative val="0"/>
                <c:dLbls>
                  <c:delete val="1"/>
                </c:dLbls>
                <c:cat>
                  <c:strRef>
                    <c:extLst>
                      <c:ext uri="{02D57815-91ED-43cb-92C2-25804820EDAC}">
                        <c15:fullRef>
                          <c15:sqref/>
                        </c15:fullRef>
                        <c15:formulaRef>
                          <c15:sqref>Sheet1!$A$2:$A$8</c15:sqref>
                        </c15:formulaRef>
                      </c:ext>
                    </c:extLst>
                    <c:strCache>
                      <c:ptCount val="7"/>
                      <c:pt idx="0">
                        <c:v>人大政协提案</c:v>
                      </c:pt>
                      <c:pt idx="1">
                        <c:v>日常监督检查</c:v>
                      </c:pt>
                      <c:pt idx="2">
                        <c:v>农业重点领域信息公开</c:v>
                      </c:pt>
                      <c:pt idx="3">
                        <c:v>会议公开信息</c:v>
                      </c:pt>
                      <c:pt idx="4">
                        <c:v>政策解读</c:v>
                      </c:pt>
                      <c:pt idx="5">
                        <c:v>规范性文件</c:v>
                      </c:pt>
                      <c:pt idx="6">
                        <c:v>其他信息</c:v>
                      </c:pt>
                    </c:strCache>
                  </c:strRef>
                </c:cat>
                <c:val>
                  <c:numRef>
                    <c:extLst>
                      <c:ext uri="{02D57815-91ED-43cb-92C2-25804820EDAC}">
                        <c15:formulaRef>
                          <c15:sqref>Sheet1!$D$2:$D$8</c15:sqref>
                        </c15:formulaRef>
                      </c:ext>
                    </c:extLst>
                    <c:numCache>
                      <c:formatCode>General</c:formatCode>
                      <c:ptCount val="7"/>
                      <c:pt idx="0">
                        <c:v>2</c:v>
                      </c:pt>
                      <c:pt idx="1">
                        <c:v>2</c:v>
                      </c:pt>
                      <c:pt idx="2">
                        <c:v>3</c:v>
                      </c:pt>
                      <c:pt idx="3">
                        <c:v>5</c:v>
                      </c:pt>
                      <c:pt idx="4">
                        <c:v>3</c:v>
                      </c:pt>
                    </c:numCache>
                  </c:numRef>
                </c:val>
              </c15:ser>
            </c15:filteredBarSeries>
          </c:ext>
        </c:extLst>
      </c:barChart>
      <c:catAx>
        <c:axId val="82688927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010609"/>
        <c:crosses val="autoZero"/>
        <c:auto val="1"/>
        <c:lblAlgn val="ctr"/>
        <c:lblOffset val="100"/>
        <c:noMultiLvlLbl val="0"/>
      </c:catAx>
      <c:valAx>
        <c:axId val="37401060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688927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380</Words>
  <Characters>2170</Characters>
  <Lines>18</Lines>
  <Paragraphs>5</Paragraphs>
  <TotalTime>12</TotalTime>
  <ScaleCrop>false</ScaleCrop>
  <LinksUpToDate>false</LinksUpToDate>
  <CharactersWithSpaces>2545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2021-05-24T02:59:00Z</dcterms:created>
  <dc:creator>dell</dc:creator>
  <cp:lastModifiedBy>手写的从前</cp:lastModifiedBy>
  <dcterms:modified xsi:type="dcterms:W3CDTF">2021-05-27T07:51:26Z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C618FCD9DC7A4080917AE2726FFF3292</vt:lpwstr>
  </property>
</Properties>
</file>