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val="0"/>
          <w:color w:val="auto"/>
          <w:spacing w:val="-11"/>
          <w:sz w:val="44"/>
          <w:szCs w:val="44"/>
          <w:shd w:val="clear" w:fill="FFFFFF"/>
        </w:rPr>
      </w:pPr>
      <w:r>
        <w:rPr>
          <w:rFonts w:hint="default" w:ascii="Times New Roman" w:hAnsi="Times New Roman" w:eastAsia="方正小标宋简体" w:cs="Times New Roman"/>
          <w:b w:val="0"/>
          <w:bCs w:val="0"/>
          <w:color w:val="auto"/>
          <w:spacing w:val="-11"/>
          <w:sz w:val="44"/>
          <w:szCs w:val="44"/>
          <w:shd w:val="clear" w:fill="FFFFFF"/>
          <w:lang w:val="en-US" w:eastAsia="zh-CN"/>
        </w:rPr>
        <w:t>薛城区发改局</w:t>
      </w:r>
      <w:r>
        <w:rPr>
          <w:rFonts w:hint="default" w:ascii="Times New Roman" w:hAnsi="Times New Roman" w:eastAsia="方正小标宋简体" w:cs="Times New Roman"/>
          <w:b w:val="0"/>
          <w:bCs w:val="0"/>
          <w:color w:val="auto"/>
          <w:spacing w:val="-11"/>
          <w:sz w:val="44"/>
          <w:szCs w:val="44"/>
          <w:shd w:val="clear" w:fill="FFFFFF"/>
        </w:rPr>
        <w:t>202</w:t>
      </w:r>
      <w:r>
        <w:rPr>
          <w:rFonts w:hint="default" w:ascii="Times New Roman" w:hAnsi="Times New Roman" w:eastAsia="方正小标宋简体" w:cs="Times New Roman"/>
          <w:b w:val="0"/>
          <w:bCs w:val="0"/>
          <w:color w:val="auto"/>
          <w:spacing w:val="-11"/>
          <w:sz w:val="44"/>
          <w:szCs w:val="44"/>
          <w:shd w:val="clear" w:fill="FFFFFF"/>
          <w:lang w:val="en-US" w:eastAsia="zh-CN"/>
        </w:rPr>
        <w:t>1</w:t>
      </w:r>
      <w:r>
        <w:rPr>
          <w:rFonts w:hint="default" w:ascii="Times New Roman" w:hAnsi="Times New Roman" w:eastAsia="方正小标宋简体" w:cs="Times New Roman"/>
          <w:b w:val="0"/>
          <w:bCs w:val="0"/>
          <w:color w:val="auto"/>
          <w:spacing w:val="-11"/>
          <w:sz w:val="44"/>
          <w:szCs w:val="44"/>
          <w:shd w:val="clear" w:fill="FFFFFF"/>
        </w:rPr>
        <w:t>年度政府信息公开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auto"/>
          <w:spacing w:val="-11"/>
          <w:sz w:val="44"/>
          <w:szCs w:val="44"/>
        </w:rPr>
      </w:pPr>
      <w:r>
        <w:rPr>
          <w:rFonts w:hint="default" w:ascii="Times New Roman" w:hAnsi="Times New Roman" w:eastAsia="方正小标宋简体" w:cs="Times New Roman"/>
          <w:b w:val="0"/>
          <w:bCs w:val="0"/>
          <w:color w:val="auto"/>
          <w:spacing w:val="-11"/>
          <w:sz w:val="44"/>
          <w:szCs w:val="44"/>
          <w:shd w:val="clear" w:fill="FFFFFF"/>
        </w:rPr>
        <w:t>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default" w:ascii="Times New Roman" w:hAnsi="Times New Roman" w:eastAsia="仿宋_GB2312" w:cs="Times New Roman"/>
          <w:sz w:val="31"/>
          <w:szCs w:val="3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根据《中华人民共和国政府信息公开条例》和《关于做好 2021年政府信息公开工作年度报告编制和发布工作的通知》要求，特向社会公布202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年度区发改局政府信息公开工作年度报告。</w:t>
      </w:r>
      <w:r>
        <w:rPr>
          <w:rFonts w:hint="default" w:ascii="Times New Roman" w:hAnsi="Times New Roman" w:eastAsia="仿宋_GB2312" w:cs="Times New Roman"/>
          <w:sz w:val="32"/>
          <w:szCs w:val="32"/>
          <w:shd w:val="clear" w:fill="FFFFFF"/>
          <w:lang w:eastAsia="zh-CN"/>
        </w:rPr>
        <w:t>本报告</w:t>
      </w:r>
      <w:r>
        <w:rPr>
          <w:rFonts w:hint="default" w:ascii="Times New Roman" w:hAnsi="Times New Roman" w:eastAsia="仿宋_GB2312" w:cs="Times New Roman"/>
          <w:sz w:val="32"/>
          <w:szCs w:val="32"/>
          <w:shd w:val="clear" w:fill="FFFFFF"/>
        </w:rPr>
        <w:t>包括总体情况、主动公开政府信息情况、收到和处理政府信息公开申请情况、政府信息公开行政复议、行政诉讼情况、存在的主要问题及改进情况、其他需要报告的事项等六部分</w:t>
      </w:r>
      <w:r>
        <w:rPr>
          <w:rFonts w:hint="default"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rPr>
        <w:t>本报告中所列数据的统计期限为202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年1月1日至202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年12月31日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shd w:val="clear" w:fill="FFFFFF"/>
        </w:rPr>
        <w:t>报告全文可同时在薛城区人民政府网站</w:t>
      </w:r>
      <w:r>
        <w:rPr>
          <w:rFonts w:hint="default" w:ascii="Times New Roman" w:hAnsi="Times New Roman" w:eastAsia="仿宋_GB2312" w:cs="Times New Roman"/>
          <w:spacing w:val="-15"/>
          <w:sz w:val="32"/>
          <w:szCs w:val="32"/>
          <w:shd w:val="clear" w:fill="FFFFFF"/>
        </w:rPr>
        <w:t>（www.xuecheng.gov.cn）</w:t>
      </w:r>
      <w:r>
        <w:rPr>
          <w:rFonts w:hint="default" w:ascii="Times New Roman" w:hAnsi="Times New Roman" w:eastAsia="仿宋_GB2312" w:cs="Times New Roman"/>
          <w:sz w:val="32"/>
          <w:szCs w:val="32"/>
          <w:shd w:val="clear" w:fill="FFFFFF"/>
        </w:rPr>
        <w:t>上下载电子版，如对本报告有任何疑问，可与</w:t>
      </w:r>
      <w:r>
        <w:rPr>
          <w:rFonts w:hint="default" w:ascii="Times New Roman" w:hAnsi="Times New Roman" w:eastAsia="仿宋_GB2312" w:cs="Times New Roman"/>
          <w:sz w:val="32"/>
          <w:szCs w:val="32"/>
          <w:shd w:val="clear" w:fill="FFFFFF"/>
          <w:lang w:val="en-US" w:eastAsia="zh-CN"/>
        </w:rPr>
        <w:t>薛城区发改局</w:t>
      </w:r>
      <w:r>
        <w:rPr>
          <w:rFonts w:hint="default" w:ascii="Times New Roman" w:hAnsi="Times New Roman" w:eastAsia="仿宋_GB2312" w:cs="Times New Roman"/>
          <w:sz w:val="32"/>
          <w:szCs w:val="32"/>
          <w:shd w:val="clear" w:fill="FFFFFF"/>
          <w:lang w:eastAsia="zh-CN"/>
        </w:rPr>
        <w:t>政务公开办</w:t>
      </w:r>
      <w:r>
        <w:rPr>
          <w:rFonts w:hint="default" w:ascii="Times New Roman" w:hAnsi="Times New Roman" w:eastAsia="仿宋_GB2312" w:cs="Times New Roman"/>
          <w:sz w:val="32"/>
          <w:szCs w:val="32"/>
          <w:shd w:val="clear" w:fill="FFFFFF"/>
        </w:rPr>
        <w:t>联系</w:t>
      </w:r>
      <w:r>
        <w:rPr>
          <w:rFonts w:hint="default" w:ascii="Times New Roman" w:hAnsi="Times New Roman" w:eastAsia="仿宋_GB2312" w:cs="Times New Roman"/>
          <w:sz w:val="32"/>
          <w:szCs w:val="32"/>
          <w:shd w:val="clear" w:fill="FFFFFF"/>
          <w:lang w:eastAsia="zh-CN"/>
        </w:rPr>
        <w:t>（地址：</w:t>
      </w:r>
      <w:r>
        <w:rPr>
          <w:rFonts w:hint="default" w:ascii="Times New Roman" w:hAnsi="Times New Roman" w:eastAsia="仿宋_GB2312" w:cs="Times New Roman"/>
          <w:sz w:val="32"/>
          <w:szCs w:val="32"/>
          <w:shd w:val="clear" w:fill="FFFFFF"/>
          <w:lang w:val="en-US" w:eastAsia="zh-CN"/>
        </w:rPr>
        <w:t>薛城区仲建大厦A504室，邮编：277000，</w:t>
      </w:r>
      <w:r>
        <w:rPr>
          <w:rFonts w:hint="default" w:ascii="Times New Roman" w:hAnsi="Times New Roman" w:eastAsia="仿宋_GB2312" w:cs="Times New Roman"/>
          <w:sz w:val="32"/>
          <w:szCs w:val="32"/>
          <w:shd w:val="clear" w:fill="FFFFFF"/>
        </w:rPr>
        <w:t>电话：0632-</w:t>
      </w:r>
      <w:r>
        <w:rPr>
          <w:rFonts w:hint="default" w:ascii="Times New Roman" w:hAnsi="Times New Roman" w:eastAsia="仿宋_GB2312" w:cs="Times New Roman"/>
          <w:sz w:val="32"/>
          <w:szCs w:val="32"/>
          <w:shd w:val="clear" w:fill="FFFFFF"/>
          <w:lang w:val="en-US" w:eastAsia="zh-CN"/>
        </w:rPr>
        <w:t>4489608</w:t>
      </w:r>
      <w:r>
        <w:rPr>
          <w:rFonts w:hint="default" w:ascii="Times New Roman" w:hAnsi="Times New Roman" w:eastAsia="仿宋_GB2312" w:cs="Times New Roman"/>
          <w:sz w:val="32"/>
          <w:szCs w:val="32"/>
          <w:shd w:val="clear" w:fill="FFFFFF"/>
          <w:lang w:eastAsia="zh-CN"/>
        </w:rPr>
        <w:t>，电子邮箱：</w:t>
      </w:r>
      <w:r>
        <w:rPr>
          <w:rFonts w:hint="default" w:ascii="Times New Roman" w:hAnsi="Times New Roman" w:eastAsia="仿宋_GB2312" w:cs="Times New Roman"/>
          <w:sz w:val="32"/>
          <w:szCs w:val="32"/>
          <w:shd w:val="clear" w:fill="FFFFFF"/>
          <w:lang w:val="en-US" w:eastAsia="zh-CN"/>
        </w:rPr>
        <w:t>xcfg489601@zz.shandong.cn</w:t>
      </w:r>
      <w:r>
        <w:rPr>
          <w:rFonts w:hint="default"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600" w:lineRule="exact"/>
        <w:ind w:left="0" w:firstLine="645"/>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一、总体情况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textAlignment w:val="auto"/>
        <w:rPr>
          <w:rFonts w:hint="eastAsia" w:ascii="Times New Roman" w:hAnsi="Times New Roman" w:eastAsia="仿宋_GB2312" w:cs="Times New Roman"/>
          <w:sz w:val="32"/>
          <w:szCs w:val="32"/>
          <w:shd w:val="clear" w:fill="FFFFFF"/>
          <w:lang w:val="en-US" w:eastAsia="zh-CN"/>
        </w:rPr>
      </w:pPr>
      <w:r>
        <w:rPr>
          <w:rFonts w:hint="default" w:ascii="Times New Roman" w:hAnsi="Times New Roman" w:eastAsia="仿宋_GB2312" w:cs="Times New Roman"/>
          <w:sz w:val="32"/>
          <w:szCs w:val="32"/>
          <w:shd w:val="clear" w:fill="FFFFFF"/>
        </w:rPr>
        <w:t>202</w:t>
      </w:r>
      <w:r>
        <w:rPr>
          <w:rFonts w:hint="default" w:ascii="Times New Roman" w:hAnsi="Times New Roman" w:eastAsia="仿宋_GB2312" w:cs="Times New Roman"/>
          <w:sz w:val="32"/>
          <w:szCs w:val="32"/>
          <w:shd w:val="clear" w:fill="FFFFFF"/>
          <w:lang w:val="en-US" w:eastAsia="zh-CN"/>
        </w:rPr>
        <w:t>1</w:t>
      </w:r>
      <w:r>
        <w:rPr>
          <w:rFonts w:hint="default" w:ascii="Times New Roman" w:hAnsi="Times New Roman" w:eastAsia="仿宋_GB2312" w:cs="Times New Roman"/>
          <w:sz w:val="32"/>
          <w:szCs w:val="32"/>
          <w:shd w:val="clear" w:fill="FFFFFF"/>
        </w:rPr>
        <w:t>年，薛城区</w:t>
      </w:r>
      <w:r>
        <w:rPr>
          <w:rFonts w:hint="eastAsia" w:ascii="Times New Roman" w:hAnsi="Times New Roman" w:eastAsia="仿宋_GB2312" w:cs="Times New Roman"/>
          <w:sz w:val="32"/>
          <w:szCs w:val="32"/>
          <w:shd w:val="clear" w:fill="FFFFFF"/>
          <w:lang w:val="en-US" w:eastAsia="zh-CN"/>
        </w:rPr>
        <w:t>发展和改革</w:t>
      </w:r>
      <w:r>
        <w:rPr>
          <w:rFonts w:hint="default" w:ascii="Times New Roman" w:hAnsi="Times New Roman" w:eastAsia="仿宋_GB2312" w:cs="Times New Roman"/>
          <w:sz w:val="32"/>
          <w:szCs w:val="32"/>
          <w:shd w:val="clear" w:fill="FFFFFF"/>
        </w:rPr>
        <w:t>局认真贯彻落实《中华人民共和国政府信息公开条例》，坚持以人民为中心的发展思想和以公开为常态、不公开为例外的原则，全面推进决策、执行、管理、服务、结果全过程公开。进一步细化信息公开标准、严密信息公开程序、强化信息公开监督，全力保障人民群众的知情权、参与权和监督权，切实增强人民群众的获得感和对政府工作的满意度，更好地为公众提供便利、高效的服</w:t>
      </w:r>
      <w:r>
        <w:rPr>
          <w:rFonts w:hint="default" w:ascii="Times New Roman" w:hAnsi="Times New Roman" w:eastAsia="仿宋_GB2312" w:cs="Times New Roman"/>
          <w:color w:val="auto"/>
          <w:sz w:val="32"/>
          <w:szCs w:val="32"/>
          <w:shd w:val="clear" w:fill="FFFFFF"/>
        </w:rPr>
        <w:t>务</w:t>
      </w:r>
      <w:r>
        <w:rPr>
          <w:rFonts w:hint="eastAsia" w:ascii="Times New Roman" w:hAnsi="Times New Roman" w:eastAsia="仿宋_GB2312" w:cs="Times New Roman"/>
          <w:color w:val="auto"/>
          <w:sz w:val="32"/>
          <w:szCs w:val="32"/>
          <w:shd w:val="clear" w:fill="FFFFFF"/>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sz w:val="31"/>
          <w:szCs w:val="31"/>
          <w:lang w:eastAsia="zh-CN"/>
        </w:rPr>
        <w:t>（</w:t>
      </w:r>
      <w:r>
        <w:rPr>
          <w:rFonts w:hint="default" w:ascii="Times New Roman" w:hAnsi="Times New Roman" w:eastAsia="楷体_GB2312" w:cs="Times New Roman"/>
          <w:sz w:val="31"/>
          <w:szCs w:val="31"/>
          <w:lang w:val="en-US" w:eastAsia="zh-CN"/>
        </w:rPr>
        <w:t>一）</w:t>
      </w:r>
      <w:r>
        <w:rPr>
          <w:rFonts w:hint="default" w:ascii="Times New Roman" w:hAnsi="Times New Roman" w:eastAsia="楷体_GB2312" w:cs="Times New Roman"/>
          <w:sz w:val="31"/>
          <w:szCs w:val="31"/>
        </w:rPr>
        <w:t>主动公开情况。</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2021年主动公开政府信息总计</w:t>
      </w:r>
      <w:r>
        <w:rPr>
          <w:rFonts w:hint="default" w:ascii="Times New Roman" w:hAnsi="Times New Roman" w:eastAsia="仿宋_GB2312" w:cs="Times New Roman"/>
          <w:color w:val="auto"/>
          <w:sz w:val="32"/>
          <w:szCs w:val="32"/>
          <w:lang w:val="en-US" w:eastAsia="zh-CN"/>
        </w:rPr>
        <w:t>76</w:t>
      </w:r>
      <w:r>
        <w:rPr>
          <w:rFonts w:hint="default" w:ascii="Times New Roman" w:hAnsi="Times New Roman" w:eastAsia="仿宋_GB2312" w:cs="Times New Roman"/>
          <w:color w:val="auto"/>
          <w:sz w:val="32"/>
          <w:szCs w:val="32"/>
        </w:rPr>
        <w:t>条，主要包括会议公开、政策文件公开、重要部署执行公开、重点领域信息公开、政策解读与回应关切、政务公开保障机制等。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1"/>
          <w:szCs w:val="31"/>
          <w:lang w:eastAsia="zh-CN"/>
        </w:rPr>
        <w:t>（</w:t>
      </w:r>
      <w:r>
        <w:rPr>
          <w:rFonts w:hint="default" w:ascii="Times New Roman" w:hAnsi="Times New Roman" w:eastAsia="楷体_GB2312" w:cs="Times New Roman"/>
          <w:sz w:val="31"/>
          <w:szCs w:val="31"/>
          <w:lang w:val="en-US" w:eastAsia="zh-CN"/>
        </w:rPr>
        <w:t>二）</w:t>
      </w:r>
      <w:r>
        <w:rPr>
          <w:rFonts w:hint="default" w:ascii="Times New Roman" w:hAnsi="Times New Roman" w:eastAsia="楷体_GB2312" w:cs="Times New Roman"/>
          <w:sz w:val="31"/>
          <w:szCs w:val="31"/>
        </w:rPr>
        <w:t>依申请公开情况。</w:t>
      </w:r>
      <w:r>
        <w:rPr>
          <w:rFonts w:hint="default" w:ascii="Times New Roman" w:hAnsi="Times New Roman" w:eastAsia="仿宋_GB2312" w:cs="Times New Roman"/>
          <w:color w:val="auto"/>
          <w:sz w:val="32"/>
          <w:szCs w:val="32"/>
        </w:rPr>
        <w:t>2021年度共收到政府信息公开申请</w:t>
      </w: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件，按时办结1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件，按时办结率100%。</w:t>
      </w:r>
      <w:r>
        <w:rPr>
          <w:rFonts w:hint="default" w:ascii="Times New Roman" w:hAnsi="Times New Roman" w:eastAsia="仿宋_GB2312" w:cs="Times New Roman"/>
          <w:color w:val="auto"/>
          <w:sz w:val="32"/>
          <w:szCs w:val="32"/>
          <w:lang w:val="en-US" w:eastAsia="zh-CN"/>
        </w:rPr>
        <w:t>其中，对7件予以公开，余下10件因不掌握相关相关信息无法提供。</w:t>
      </w:r>
      <w:r>
        <w:rPr>
          <w:rFonts w:hint="eastAsia" w:ascii="Times New Roman" w:hAnsi="Times New Roman" w:eastAsia="仿宋_GB2312" w:cs="Times New Roman"/>
          <w:color w:val="auto"/>
          <w:sz w:val="32"/>
          <w:szCs w:val="32"/>
          <w:lang w:val="en-US" w:eastAsia="zh-CN"/>
        </w:rPr>
        <w:t>全</w:t>
      </w:r>
      <w:r>
        <w:rPr>
          <w:rFonts w:hint="default" w:ascii="Times New Roman" w:hAnsi="Times New Roman" w:eastAsia="仿宋_GB2312" w:cs="Times New Roman"/>
          <w:color w:val="auto"/>
          <w:sz w:val="32"/>
          <w:szCs w:val="32"/>
        </w:rPr>
        <w:t>年未发生因政府信息公开被行政复议、提起行政诉讼情况。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1"/>
          <w:szCs w:val="31"/>
          <w:lang w:eastAsia="zh-CN"/>
        </w:rPr>
        <w:t>（</w:t>
      </w:r>
      <w:r>
        <w:rPr>
          <w:rFonts w:hint="default" w:ascii="Times New Roman" w:hAnsi="Times New Roman" w:eastAsia="楷体_GB2312" w:cs="Times New Roman"/>
          <w:sz w:val="31"/>
          <w:szCs w:val="31"/>
          <w:lang w:val="en-US" w:eastAsia="zh-CN"/>
        </w:rPr>
        <w:t>三）</w:t>
      </w:r>
      <w:r>
        <w:rPr>
          <w:rFonts w:hint="default" w:ascii="Times New Roman" w:hAnsi="Times New Roman" w:eastAsia="楷体_GB2312" w:cs="Times New Roman"/>
          <w:sz w:val="31"/>
          <w:szCs w:val="31"/>
        </w:rPr>
        <w:t>政府信息管理情况。</w:t>
      </w:r>
      <w:r>
        <w:rPr>
          <w:rFonts w:hint="default" w:ascii="Times New Roman" w:hAnsi="Times New Roman" w:eastAsia="仿宋_GB2312" w:cs="Times New Roman"/>
          <w:color w:val="auto"/>
          <w:sz w:val="32"/>
          <w:szCs w:val="32"/>
        </w:rPr>
        <w:t>优化各股室、局属各单位分工协作的信息管理体系，严格遵守政府信息公开发布保密审查制度，各股室、各单位负责同志对主动公开内容和依申请公开答复事项进行信息初审，由相关领导审查后发布。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1"/>
          <w:szCs w:val="31"/>
          <w:lang w:eastAsia="zh-CN"/>
        </w:rPr>
        <w:t>（</w:t>
      </w:r>
      <w:r>
        <w:rPr>
          <w:rFonts w:hint="default" w:ascii="Times New Roman" w:hAnsi="Times New Roman" w:eastAsia="楷体_GB2312" w:cs="Times New Roman"/>
          <w:sz w:val="31"/>
          <w:szCs w:val="31"/>
          <w:lang w:val="en-US" w:eastAsia="zh-CN"/>
        </w:rPr>
        <w:t>四）</w:t>
      </w:r>
      <w:r>
        <w:rPr>
          <w:rFonts w:hint="default" w:ascii="Times New Roman" w:hAnsi="Times New Roman" w:eastAsia="楷体_GB2312" w:cs="Times New Roman"/>
          <w:sz w:val="31"/>
          <w:szCs w:val="31"/>
        </w:rPr>
        <w:t>政府信息公开平台建设情况。</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政务公开信息主要通过区政府门户网站发布。2021年度，我</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严格按照区政府集约化智能门户平台板块及栏目设置公开各项政务信息，确保应有公开栏目不漏项，信息报送保质保量。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textAlignment w:val="auto"/>
        <w:rPr>
          <w:rFonts w:hint="default" w:ascii="Times New Roman" w:hAnsi="Times New Roman" w:cs="Times New Roman"/>
          <w:sz w:val="24"/>
          <w:szCs w:val="24"/>
        </w:rPr>
      </w:pPr>
      <w:r>
        <w:rPr>
          <w:rFonts w:hint="default" w:ascii="Times New Roman" w:hAnsi="Times New Roman" w:eastAsia="楷体_GB2312" w:cs="Times New Roman"/>
          <w:sz w:val="31"/>
          <w:szCs w:val="31"/>
          <w:lang w:eastAsia="zh-CN"/>
        </w:rPr>
        <w:t>（</w:t>
      </w:r>
      <w:r>
        <w:rPr>
          <w:rFonts w:hint="default" w:ascii="Times New Roman" w:hAnsi="Times New Roman" w:eastAsia="楷体_GB2312" w:cs="Times New Roman"/>
          <w:sz w:val="31"/>
          <w:szCs w:val="31"/>
          <w:lang w:val="en-US" w:eastAsia="zh-CN"/>
        </w:rPr>
        <w:t>五）</w:t>
      </w:r>
      <w:r>
        <w:rPr>
          <w:rFonts w:hint="default" w:ascii="Times New Roman" w:hAnsi="Times New Roman" w:eastAsia="楷体_GB2312" w:cs="Times New Roman"/>
          <w:sz w:val="31"/>
          <w:szCs w:val="31"/>
        </w:rPr>
        <w:t>监督保障情况。</w:t>
      </w:r>
      <w:r>
        <w:rPr>
          <w:rFonts w:hint="default" w:ascii="Times New Roman" w:hAnsi="Times New Roman" w:eastAsia="仿宋_GB2312" w:cs="Times New Roman"/>
          <w:color w:val="auto"/>
          <w:sz w:val="32"/>
          <w:szCs w:val="32"/>
        </w:rPr>
        <w:t>根据人员变动及时调整局政务公开工作领导小组，强化组织领导，明确责任分工。定期组织政务公开信息员业务培训，强化保密意识，提升业务水平。主动接受区政务公开办及部门对我局政务信息公开情况的监督，对照监督检测出的问题及时认真做好整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right="0" w:firstLine="640" w:firstLineChars="200"/>
        <w:jc w:val="left"/>
        <w:rPr>
          <w:rFonts w:hint="default" w:ascii="Times New Roman" w:hAnsi="Times New Roman" w:eastAsia="仿宋_GB2312" w:cs="Times New Roman"/>
          <w:sz w:val="31"/>
          <w:szCs w:val="31"/>
          <w:shd w:val="clear" w:fill="FFFFFF"/>
          <w:lang w:eastAsia="zh-CN"/>
        </w:rPr>
      </w:pPr>
      <w:r>
        <w:rPr>
          <w:rFonts w:hint="default" w:ascii="Times New Roman" w:hAnsi="Times New Roman" w:eastAsia="仿宋_GB2312" w:cs="Times New Roman"/>
          <w:sz w:val="32"/>
          <w:szCs w:val="32"/>
          <w:shd w:val="clear" w:fill="FFFFFF"/>
          <w:lang w:val="en-US" w:eastAsia="zh-CN"/>
        </w:rPr>
        <w:t xml:space="preserve">   </w:t>
      </w:r>
      <w:r>
        <w:drawing>
          <wp:inline distT="0" distB="0" distL="114300" distR="114300">
            <wp:extent cx="5272405" cy="3917950"/>
            <wp:effectExtent l="0" t="0" r="4445"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72405" cy="3917950"/>
                    </a:xfrm>
                    <a:prstGeom prst="rect">
                      <a:avLst/>
                    </a:prstGeom>
                    <a:noFill/>
                    <a:ln>
                      <a:noFill/>
                    </a:ln>
                  </pic:spPr>
                </pic:pic>
              </a:graphicData>
            </a:graphic>
          </wp:inline>
        </w:drawing>
      </w:r>
    </w:p>
    <w:p>
      <w:pPr>
        <w:pStyle w:val="5"/>
        <w:keepNext w:val="0"/>
        <w:keepLines w:val="0"/>
        <w:widowControl/>
        <w:suppressLineNumbers w:val="0"/>
        <w:shd w:val="clear" w:fill="FFFFFF"/>
        <w:spacing w:after="240" w:afterAutospacing="0"/>
        <w:ind w:left="0" w:firstLine="645"/>
        <w:jc w:val="both"/>
        <w:rPr>
          <w:rFonts w:hint="default" w:ascii="Times New Roman" w:hAnsi="Times New Roman" w:cs="Times New Roman"/>
        </w:rPr>
      </w:pPr>
      <w:r>
        <w:rPr>
          <w:rFonts w:hint="default" w:ascii="Times New Roman" w:hAnsi="Times New Roman" w:eastAsia="黑体" w:cs="Times New Roman"/>
          <w:color w:val="333333"/>
          <w:sz w:val="31"/>
          <w:szCs w:val="31"/>
          <w:shd w:val="clear" w:fill="FFFFFF"/>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pStyle w:val="5"/>
        <w:keepNext w:val="0"/>
        <w:keepLines w:val="0"/>
        <w:widowControl/>
        <w:suppressLineNumbers w:val="0"/>
        <w:shd w:val="clear" w:fill="FFFFFF"/>
        <w:spacing w:after="240" w:afterAutospacing="0"/>
        <w:ind w:left="0" w:firstLine="615"/>
        <w:jc w:val="both"/>
        <w:rPr>
          <w:rFonts w:hint="default" w:ascii="Times New Roman" w:hAnsi="Times New Roman" w:cs="Times New Roman"/>
        </w:rPr>
      </w:pPr>
      <w:r>
        <w:rPr>
          <w:rStyle w:val="8"/>
          <w:rFonts w:hint="default" w:ascii="Times New Roman" w:hAnsi="Times New Roman" w:eastAsia="黑体" w:cs="Times New Roman"/>
          <w:color w:val="333333"/>
          <w:sz w:val="31"/>
          <w:szCs w:val="31"/>
          <w:shd w:val="clear" w:fill="FFFFFF"/>
        </w:rPr>
        <w:t>三、收到和处理政府信息公开申请情况</w:t>
      </w:r>
    </w:p>
    <w:tbl>
      <w:tblPr>
        <w:tblStyle w:val="6"/>
        <w:tblW w:w="91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84"/>
        <w:gridCol w:w="1571"/>
        <w:gridCol w:w="2750"/>
        <w:gridCol w:w="765"/>
        <w:gridCol w:w="523"/>
        <w:gridCol w:w="523"/>
        <w:gridCol w:w="675"/>
        <w:gridCol w:w="654"/>
        <w:gridCol w:w="526"/>
        <w:gridCol w:w="7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4705"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454"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4705"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765"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2901"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788"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4705"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765"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23"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23"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675"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654"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26"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788"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705"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765"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17</w:t>
            </w:r>
          </w:p>
        </w:tc>
        <w:tc>
          <w:tcPr>
            <w:tcW w:w="523"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3"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54"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6"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8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705"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765"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3"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3"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54"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6"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8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384"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321"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765"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7</w:t>
            </w:r>
          </w:p>
        </w:tc>
        <w:tc>
          <w:tcPr>
            <w:tcW w:w="523"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3"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54"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6"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8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321"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765" w:type="dxa"/>
            <w:shd w:val="clear" w:color="auto" w:fill="auto"/>
            <w:tcMar>
              <w:left w:w="108" w:type="dxa"/>
              <w:right w:w="108" w:type="dxa"/>
            </w:tcMar>
            <w:vAlign w:val="center"/>
          </w:tcPr>
          <w:p>
            <w:pPr>
              <w:pStyle w:val="5"/>
              <w:keepNext w:val="0"/>
              <w:keepLines w:val="0"/>
              <w:widowControl/>
              <w:suppressLineNumbers w:val="0"/>
              <w:spacing w:after="180" w:afterAutospacing="0"/>
              <w:ind w:left="0" w:leftChars="0" w:right="0" w:rightChars="0"/>
              <w:jc w:val="center"/>
              <w:rPr>
                <w:rFonts w:hint="default" w:ascii="Times New Roman" w:hAnsi="Times New Roman" w:eastAsia="仿宋_GB2312" w:cs="Times New Roman"/>
                <w:szCs w:val="21"/>
                <w:lang w:val="en-US" w:eastAsia="zh-CN"/>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widowControl/>
              <w:suppressLineNumbers w:val="0"/>
              <w:spacing w:after="180" w:afterAutospacing="0"/>
              <w:ind w:left="0" w:leftChars="0" w:right="0" w:rightChars="0"/>
              <w:jc w:val="center"/>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widowControl/>
              <w:suppressLineNumbers w:val="0"/>
              <w:spacing w:after="180" w:afterAutospacing="0"/>
              <w:ind w:left="0" w:leftChars="0" w:right="0" w:rightChars="0"/>
              <w:jc w:val="center"/>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widowControl/>
              <w:suppressLineNumbers w:val="0"/>
              <w:spacing w:after="180" w:afterAutospacing="0"/>
              <w:ind w:left="0" w:leftChars="0" w:right="0" w:rightChars="0"/>
              <w:jc w:val="center"/>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widowControl/>
              <w:suppressLineNumbers w:val="0"/>
              <w:spacing w:after="180" w:afterAutospacing="0"/>
              <w:ind w:left="0" w:leftChars="0" w:right="0" w:rightChars="0"/>
              <w:jc w:val="center"/>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widowControl/>
              <w:suppressLineNumbers w:val="0"/>
              <w:spacing w:after="180" w:afterAutospacing="0"/>
              <w:ind w:left="0" w:leftChars="0" w:right="0" w:rightChars="0"/>
              <w:jc w:val="center"/>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widowControl/>
              <w:suppressLineNumbers w:val="0"/>
              <w:spacing w:after="180" w:afterAutospacing="0"/>
              <w:ind w:left="0" w:leftChars="0" w:right="0" w:rightChars="0"/>
              <w:jc w:val="center"/>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7"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lang w:val="en-US" w:eastAsia="zh-CN"/>
              </w:rPr>
              <w:t>10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ind w:left="-107" w:leftChars="-51"/>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ind w:left="-107" w:leftChars="-51"/>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exac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szCs w:val="21"/>
              </w:rPr>
            </w:pPr>
          </w:p>
        </w:tc>
        <w:tc>
          <w:tcPr>
            <w:tcW w:w="27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beforeAutospacing="0" w:line="360" w:lineRule="auto"/>
              <w:ind w:firstLine="21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3" w:hRule="atLeas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3" w:hRule="atLeas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kern w:val="0"/>
                <w:szCs w:val="21"/>
              </w:rPr>
            </w:pPr>
          </w:p>
        </w:tc>
        <w:tc>
          <w:tcPr>
            <w:tcW w:w="2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57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kern w:val="0"/>
                <w:szCs w:val="21"/>
              </w:rPr>
            </w:pPr>
          </w:p>
        </w:tc>
        <w:tc>
          <w:tcPr>
            <w:tcW w:w="2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384"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32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76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宋体" w:cs="Times New Roman"/>
                <w:sz w:val="21"/>
                <w:szCs w:val="21"/>
                <w:lang w:val="en-US" w:eastAsia="zh-CN"/>
              </w:rPr>
              <w:t>17</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3"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75"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654"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526"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宋体" w:cs="Times New Roman"/>
                <w:sz w:val="21"/>
                <w:szCs w:val="21"/>
              </w:rPr>
              <w:t>0</w:t>
            </w:r>
          </w:p>
        </w:tc>
        <w:tc>
          <w:tcPr>
            <w:tcW w:w="788" w:type="dxa"/>
            <w:shd w:val="clear" w:color="auto" w:fill="auto"/>
            <w:tcMar>
              <w:left w:w="108"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180" w:afterAutospacing="0" w:line="360" w:lineRule="auto"/>
              <w:ind w:left="0" w:leftChars="0" w:right="0" w:right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宋体" w:cs="Times New Roman"/>
                <w:sz w:val="21"/>
                <w:szCs w:val="21"/>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4705"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auto"/>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76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360" w:lineRule="auto"/>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360" w:lineRule="auto"/>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360" w:lineRule="auto"/>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360" w:lineRule="auto"/>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5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360" w:lineRule="auto"/>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360" w:lineRule="auto"/>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8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360" w:lineRule="auto"/>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pStyle w:val="5"/>
        <w:keepNext w:val="0"/>
        <w:keepLines w:val="0"/>
        <w:widowControl/>
        <w:suppressLineNumbers w:val="0"/>
        <w:shd w:val="clear" w:fill="FFFFFF"/>
        <w:ind w:left="0" w:firstLine="420"/>
        <w:jc w:val="both"/>
        <w:rPr>
          <w:rFonts w:hint="default" w:ascii="Times New Roman" w:hAnsi="Times New Roman" w:cs="Times New Roman"/>
        </w:rPr>
      </w:pPr>
      <w:r>
        <w:rPr>
          <w:rFonts w:hint="default" w:ascii="Times New Roman" w:hAnsi="Times New Roman" w:eastAsia="黑体" w:cs="Times New Roman"/>
          <w:color w:val="333333"/>
          <w:sz w:val="31"/>
          <w:szCs w:val="31"/>
          <w:shd w:val="clear" w:fill="FFFFFF"/>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5"/>
        <w:keepNext w:val="0"/>
        <w:keepLines w:val="0"/>
        <w:pageBreakBefore w:val="0"/>
        <w:widowControl/>
        <w:numPr>
          <w:ilvl w:val="0"/>
          <w:numId w:val="1"/>
        </w:numPr>
        <w:suppressLineNumbers w:val="0"/>
        <w:shd w:val="clear" w:fill="FFFFFF"/>
        <w:kinsoku/>
        <w:wordWrap/>
        <w:overflowPunct/>
        <w:topLinePunct w:val="0"/>
        <w:autoSpaceDN/>
        <w:bidi w:val="0"/>
        <w:adjustRightInd/>
        <w:snapToGrid/>
        <w:spacing w:beforeAutospacing="0" w:afterAutospacing="0" w:line="600" w:lineRule="exact"/>
        <w:ind w:left="0" w:firstLine="420"/>
        <w:jc w:val="both"/>
        <w:textAlignment w:val="auto"/>
        <w:rPr>
          <w:rFonts w:hint="default" w:ascii="Times New Roman" w:hAnsi="Times New Roman" w:eastAsia="黑体" w:cs="Times New Roman"/>
          <w:color w:val="333333"/>
          <w:sz w:val="31"/>
          <w:szCs w:val="31"/>
          <w:shd w:val="clear" w:fill="FFFFFF"/>
        </w:rPr>
      </w:pPr>
      <w:r>
        <w:rPr>
          <w:rFonts w:hint="default" w:ascii="Times New Roman" w:hAnsi="Times New Roman" w:eastAsia="黑体" w:cs="Times New Roman"/>
          <w:color w:val="333333"/>
          <w:sz w:val="31"/>
          <w:szCs w:val="31"/>
          <w:shd w:val="clear" w:fill="FFFFFF"/>
        </w:rPr>
        <w:t>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sz w:val="32"/>
          <w:szCs w:val="32"/>
          <w:shd w:val="clear" w:fill="FFFFFF"/>
          <w:lang w:val="en-US" w:eastAsia="zh-CN"/>
        </w:rPr>
      </w:pPr>
      <w:r>
        <w:rPr>
          <w:rFonts w:hint="default" w:ascii="Times New Roman" w:hAnsi="Times New Roman" w:eastAsia="仿宋_GB2312" w:cs="Times New Roman"/>
          <w:sz w:val="32"/>
          <w:szCs w:val="32"/>
          <w:shd w:val="clear" w:fill="FFFFFF"/>
          <w:lang w:val="en-US" w:eastAsia="zh-CN"/>
        </w:rPr>
        <w:t>今年以来，我局政府信息公开工作稳步推进，但仍存在部分问题：一是</w:t>
      </w:r>
      <w:r>
        <w:rPr>
          <w:rFonts w:hint="default" w:ascii="Times New Roman" w:hAnsi="Times New Roman" w:eastAsia="仿宋_GB2312" w:cs="Times New Roman"/>
          <w:sz w:val="32"/>
          <w:szCs w:val="32"/>
          <w:shd w:val="clear" w:fill="FFFFFF"/>
        </w:rPr>
        <w:t>各股（室）</w:t>
      </w:r>
      <w:r>
        <w:rPr>
          <w:rFonts w:hint="default" w:ascii="Times New Roman" w:hAnsi="Times New Roman" w:eastAsia="仿宋_GB2312" w:cs="Times New Roman"/>
          <w:sz w:val="32"/>
          <w:szCs w:val="32"/>
          <w:shd w:val="clear" w:fill="FFFFFF"/>
          <w:lang w:val="en-US" w:eastAsia="zh-CN"/>
        </w:rPr>
        <w:t>对于政务信息公开及时性的认识仍需加深加强，目前信息公开滞后性稍显，在后续工作开展中要增强</w:t>
      </w:r>
      <w:r>
        <w:rPr>
          <w:rFonts w:hint="default" w:ascii="Times New Roman" w:hAnsi="Times New Roman" w:eastAsia="仿宋_GB2312" w:cs="Times New Roman"/>
          <w:sz w:val="32"/>
          <w:szCs w:val="32"/>
          <w:shd w:val="clear" w:fill="FFFFFF"/>
        </w:rPr>
        <w:t>各股（室）</w:t>
      </w:r>
      <w:r>
        <w:rPr>
          <w:rFonts w:hint="default" w:ascii="Times New Roman" w:hAnsi="Times New Roman" w:eastAsia="仿宋_GB2312" w:cs="Times New Roman"/>
          <w:sz w:val="32"/>
          <w:szCs w:val="32"/>
          <w:shd w:val="clear" w:fill="FFFFFF"/>
          <w:lang w:val="en-US" w:eastAsia="zh-CN"/>
        </w:rPr>
        <w:t>责任意识，树立政务信息公开要及时、有效理念；二是针对信息公开业务，参与感较低现象仍然存在，对该项工作认知仍停留在为具体科室负责；三是信息公开的广度和深度有待进一步加强。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sz w:val="32"/>
          <w:szCs w:val="32"/>
          <w:shd w:val="clear" w:fill="FFFFFF"/>
        </w:rPr>
      </w:pPr>
      <w:r>
        <w:rPr>
          <w:rFonts w:hint="default" w:ascii="Times New Roman" w:hAnsi="Times New Roman" w:eastAsia="仿宋_GB2312" w:cs="Times New Roman"/>
          <w:sz w:val="32"/>
          <w:szCs w:val="32"/>
          <w:shd w:val="clear" w:fill="FFFFFF"/>
        </w:rPr>
        <w:t>下步，</w:t>
      </w:r>
      <w:r>
        <w:rPr>
          <w:rFonts w:hint="default" w:ascii="Times New Roman" w:hAnsi="Times New Roman" w:eastAsia="仿宋_GB2312" w:cs="Times New Roman"/>
          <w:sz w:val="32"/>
          <w:szCs w:val="32"/>
          <w:shd w:val="clear" w:fill="FFFFFF"/>
          <w:lang w:val="en-US" w:eastAsia="zh-CN"/>
        </w:rPr>
        <w:t>我局将针对本年度存在的问题进行着重梳理调整，继续</w:t>
      </w:r>
      <w:r>
        <w:rPr>
          <w:rFonts w:hint="default" w:ascii="Times New Roman" w:hAnsi="Times New Roman" w:eastAsia="仿宋_GB2312" w:cs="Times New Roman"/>
          <w:sz w:val="32"/>
          <w:szCs w:val="32"/>
          <w:shd w:val="clear" w:fill="FFFFFF"/>
        </w:rPr>
        <w:t>扎实做好信息公开工作,做到制度化和规范化,着重从组织领导、提高认识、全面公开等方面做好我局政府信息公开工作。一是切实加强组织领导，进一步明确政府信息公开领导小组的职责和任务，将政府信息公开工作切实落实到常态化工作中，进一步抓紧抓好。二是提高认识，充分认识信息公开对构建政府公信力的重要性，认真学习政府信息公开条例内容和市区有关信息公开的文件，真正把信息公开做到细致。三是按照上级要求，加强发展规划、“放管服”改革、政策解读和重大决策部署贯彻落实的全面公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left="0" w:firstLine="420"/>
        <w:jc w:val="both"/>
        <w:textAlignment w:val="auto"/>
        <w:rPr>
          <w:rFonts w:hint="default" w:ascii="Times New Roman" w:hAnsi="Times New Roman" w:cs="Times New Roman"/>
        </w:rPr>
      </w:pPr>
      <w:r>
        <w:rPr>
          <w:rFonts w:hint="default" w:ascii="Times New Roman" w:hAnsi="Times New Roman" w:eastAsia="黑体" w:cs="Times New Roman"/>
          <w:color w:val="333333"/>
          <w:sz w:val="31"/>
          <w:szCs w:val="31"/>
          <w:shd w:val="clear" w:fill="FFFFFF"/>
        </w:rPr>
        <w:t>六、其他需要报告的事项</w:t>
      </w:r>
    </w:p>
    <w:p>
      <w:pPr>
        <w:ind w:firstLine="640" w:firstLineChars="200"/>
        <w:rPr>
          <w:rFonts w:hint="default" w:ascii="Times New Roman" w:hAnsi="Times New Roman" w:cs="Times New Roman"/>
        </w:rPr>
      </w:pPr>
      <w:bookmarkStart w:id="10" w:name="_GoBack"/>
      <w:bookmarkEnd w:id="10"/>
      <w:r>
        <w:rPr>
          <w:rFonts w:ascii="仿宋_GB2312" w:hAnsi="宋体" w:eastAsia="仿宋_GB2312" w:cs="仿宋_GB2312"/>
          <w:b w:val="0"/>
          <w:bCs w:val="0"/>
          <w:i w:val="0"/>
          <w:iCs w:val="0"/>
          <w:caps w:val="0"/>
          <w:color w:val="000000"/>
          <w:spacing w:val="0"/>
          <w:sz w:val="32"/>
          <w:szCs w:val="32"/>
          <w:shd w:val="clear" w:fill="FFFFFF"/>
        </w:rPr>
        <w:t>共办理人大建议和政协提案8件。其中，市政协提案4件，区政协提案3件，区人大建议1件。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6A340"/>
    <w:multiLevelType w:val="singleLevel"/>
    <w:tmpl w:val="D016A34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0558B"/>
    <w:rsid w:val="04F5002C"/>
    <w:rsid w:val="062A31D9"/>
    <w:rsid w:val="0D9773A6"/>
    <w:rsid w:val="12747079"/>
    <w:rsid w:val="129C720C"/>
    <w:rsid w:val="1A5C2BB2"/>
    <w:rsid w:val="203732D9"/>
    <w:rsid w:val="27E25B8C"/>
    <w:rsid w:val="296B1032"/>
    <w:rsid w:val="2B4E5773"/>
    <w:rsid w:val="2FFF6B8C"/>
    <w:rsid w:val="3476209A"/>
    <w:rsid w:val="348E47AF"/>
    <w:rsid w:val="403A5ABD"/>
    <w:rsid w:val="4366740F"/>
    <w:rsid w:val="452627E2"/>
    <w:rsid w:val="4CF0558B"/>
    <w:rsid w:val="4FB54E8E"/>
    <w:rsid w:val="511E2565"/>
    <w:rsid w:val="52E539C0"/>
    <w:rsid w:val="5B1641B8"/>
    <w:rsid w:val="7052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rPr>
      <w:u w:val="single"/>
    </w:rPr>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333333"/>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1914</Words>
  <Characters>2029</Characters>
  <Lines>0</Lines>
  <Paragraphs>0</Paragraphs>
  <TotalTime>7</TotalTime>
  <ScaleCrop>false</ScaleCrop>
  <LinksUpToDate>false</LinksUpToDate>
  <CharactersWithSpaces>2034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2021-12-31T08:04:00Z</dcterms:created>
  <dc:creator>大米芽</dc:creator>
  <cp:lastModifiedBy>Dea</cp:lastModifiedBy>
  <dcterms:modified xsi:type="dcterms:W3CDTF">2022-01-27T01:10:15Z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D4BA6B0AE1674DC1B6179440160CF8EB</vt:lpwstr>
  </property>
</Properties>
</file>