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薛城区人力资源和社会保障局</w:t>
      </w:r>
    </w:p>
    <w:p>
      <w:pPr>
        <w:pageBreakBefore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2021年</w:t>
      </w:r>
      <w:r>
        <w:rPr>
          <w:rFonts w:hint="eastAsia" w:ascii="方正小标宋简体" w:hAnsi="方正小标宋简体" w:eastAsia="方正小标宋简体" w:cs="方正小标宋简体"/>
          <w:color w:val="auto"/>
          <w:sz w:val="44"/>
          <w:szCs w:val="44"/>
        </w:rPr>
        <w:t>政府信息公开工作年度报告</w:t>
      </w:r>
    </w:p>
    <w:p>
      <w:pPr>
        <w:pageBreakBefore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小标宋简体" w:cs="Times New Roman"/>
          <w:color w:val="auto"/>
          <w:sz w:val="44"/>
          <w:szCs w:val="44"/>
        </w:rPr>
      </w:pPr>
      <w:r>
        <w:rPr>
          <w:rFonts w:hint="default" w:ascii="Times New Roman" w:hAnsi="Times New Roman" w:eastAsia="仿宋_GB2312" w:cs="Times New Roman"/>
          <w:color w:val="auto"/>
          <w:kern w:val="0"/>
          <w:sz w:val="32"/>
          <w:szCs w:val="32"/>
        </w:rPr>
        <w:t>根据《中华人民共和国政府信息公开条例》（国务院令第711号，以下简称《条例》）和《国务院办公厅政府信息与政务公开办公室关于政府信息公开工作年度报告有关事项的通知》（国办公开办函〔2019〕60号）要求，现就推进政府信息公开工作情况，向社会公布薛城区人力资源和社会保障局2021年政府信息公开工作年度报告。本报告包括总体情况、行政机关主动公开政府信息情况、行政机关收到和处理政府信息公开申请情况、因政府信息公开工作被申请行政复议、提起行政诉讼情况、政府信息公开工作存在的主要问题及改进情况、其他需要报告的事项等六个部分。本年度报告中所列数据的统计期限自202</w:t>
      </w:r>
      <w:r>
        <w:rPr>
          <w:rFonts w:hint="default" w:ascii="Times New Roman" w:hAnsi="Times New Roman" w:eastAsia="仿宋_GB2312"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rPr>
        <w:t>年1月1日起至202</w:t>
      </w:r>
      <w:r>
        <w:rPr>
          <w:rFonts w:hint="default" w:ascii="Times New Roman" w:hAnsi="Times New Roman" w:eastAsia="仿宋_GB2312"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rPr>
        <w:t>年12月31日止。本年度报告的电子版可以在“薛城区政府门户网站”（http://xxgk.xuecheng.gov.cn/xxgknb/2021xxgknb/bmjzjxx/202201/t20220107_1374522.html)下载</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如对本报告有疑问，可与</w:t>
      </w:r>
      <w:r>
        <w:rPr>
          <w:rFonts w:hint="default" w:ascii="Times New Roman" w:hAnsi="Times New Roman" w:eastAsia="仿宋_GB2312" w:cs="Times New Roman"/>
          <w:color w:val="auto"/>
          <w:kern w:val="0"/>
          <w:sz w:val="32"/>
          <w:szCs w:val="32"/>
          <w:lang w:eastAsia="zh-CN"/>
        </w:rPr>
        <w:t>薛城</w:t>
      </w:r>
      <w:r>
        <w:rPr>
          <w:rFonts w:hint="default" w:ascii="Times New Roman" w:hAnsi="Times New Roman" w:eastAsia="仿宋_GB2312" w:cs="Times New Roman"/>
          <w:color w:val="auto"/>
          <w:kern w:val="0"/>
          <w:sz w:val="32"/>
          <w:szCs w:val="32"/>
        </w:rPr>
        <w:t>区人力资源和社会保障局联系</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地址：薛城区珠江路599号SOHO珠江D1楼</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邮政编码：2770</w:t>
      </w:r>
      <w:r>
        <w:rPr>
          <w:rFonts w:hint="default" w:ascii="Times New Roman" w:hAnsi="Times New Roman" w:eastAsia="仿宋_GB2312" w:cs="Times New Roman"/>
          <w:color w:val="auto"/>
          <w:kern w:val="0"/>
          <w:sz w:val="32"/>
          <w:szCs w:val="32"/>
          <w:lang w:val="en-US" w:eastAsia="zh-CN"/>
        </w:rPr>
        <w:t>00</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电话（传真）：0632</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4411804；电子邮箱：xcqrsjadmin@zz.shandong.cn</w:t>
      </w:r>
      <w:r>
        <w:rPr>
          <w:rFonts w:hint="default" w:ascii="Times New Roman" w:hAnsi="Times New Roman" w:eastAsia="仿宋_GB2312" w:cs="Times New Roman"/>
          <w:color w:val="auto"/>
          <w:kern w:val="0"/>
          <w:sz w:val="32"/>
          <w:szCs w:val="32"/>
          <w:lang w:eastAsia="zh-CN"/>
        </w:rPr>
        <w:t>）。</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黑体" w:cs="Times New Roman"/>
          <w:b w:val="0"/>
          <w:bCs w:val="0"/>
          <w:color w:val="auto"/>
        </w:rPr>
      </w:pPr>
      <w:r>
        <w:rPr>
          <w:rFonts w:hint="default" w:ascii="Times New Roman" w:hAnsi="Times New Roman" w:eastAsia="黑体" w:cs="Times New Roman"/>
          <w:b w:val="0"/>
          <w:bCs w:val="0"/>
          <w:color w:val="auto"/>
          <w:lang w:eastAsia="zh-CN"/>
        </w:rPr>
        <w:t>一、</w:t>
      </w:r>
      <w:r>
        <w:rPr>
          <w:rFonts w:hint="default" w:ascii="Times New Roman" w:hAnsi="Times New Roman" w:eastAsia="黑体" w:cs="Times New Roman"/>
          <w:b w:val="0"/>
          <w:bCs w:val="0"/>
          <w:color w:val="auto"/>
        </w:rPr>
        <w:t>总体情况</w:t>
      </w:r>
    </w:p>
    <w:p>
      <w:pPr>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2021年，薛城区人力资源和社会保障局政府信息公开工作在区委、区政府及局党组的正确领导和区政府办公室政务公开办公室的精心指导下，认真贯彻落实《中华人民共和国政府信息公开条例》，坚持以人民为中心的发展思想和以公开为常态、不公开为例外的原则，全面推进决策、执行、管理、服务、结果全过程公开。进一步细化信息公开标准、严密信息公开程序、强化信息公开监督，全力保障人民群众的知情权、参与权和监督权，切实增强人民群众的获得感和对政府工作的满意度，更好地为公众提供便利、高效的服务。</w:t>
      </w:r>
    </w:p>
    <w:p>
      <w:pPr>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rPr>
        <w:t>1.主动公开</w:t>
      </w:r>
      <w:r>
        <w:rPr>
          <w:rFonts w:hint="default" w:ascii="Times New Roman" w:hAnsi="Times New Roman" w:eastAsia="楷体_GB2312" w:cs="Times New Roman"/>
          <w:b w:val="0"/>
          <w:bCs w:val="0"/>
          <w:color w:val="auto"/>
          <w:sz w:val="32"/>
          <w:szCs w:val="32"/>
          <w:lang w:eastAsia="zh-CN"/>
        </w:rPr>
        <w:t>情况</w:t>
      </w:r>
      <w:r>
        <w:rPr>
          <w:rFonts w:hint="default" w:ascii="Times New Roman" w:hAnsi="Times New Roman" w:eastAsia="楷体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区人社局紧紧围绕“民生为本，人才优先”工作主线，以优化营商环境为切入点，深化重点领域信息公开。</w:t>
      </w:r>
      <w:r>
        <w:rPr>
          <w:rFonts w:hint="default" w:ascii="Times New Roman" w:hAnsi="Times New Roman" w:eastAsia="仿宋_GB2312" w:cs="Times New Roman"/>
          <w:b w:val="0"/>
          <w:bCs w:val="0"/>
          <w:color w:val="auto"/>
          <w:sz w:val="32"/>
          <w:szCs w:val="32"/>
          <w:lang w:val="en-US" w:eastAsia="zh-CN"/>
        </w:rPr>
        <w:t>2021年主动公开信息682条，包括会议公开2条，政策文件62条，政策解读48条，规划计划2条，财政信息2条，人事信息140条，重要部署执行12条，行政权力7条，建议提案6条，重点领域388条，组织管理10条，政务公开基本目录</w:t>
      </w:r>
      <w:r>
        <w:rPr>
          <w:rFonts w:hint="default" w:ascii="Times New Roman" w:hAnsi="Times New Roman" w:eastAsia="仿宋_GB2312" w:cs="Times New Roman"/>
          <w:b w:val="0"/>
          <w:bCs w:val="0"/>
          <w:color w:val="auto"/>
          <w:sz w:val="32"/>
          <w:szCs w:val="32"/>
          <w:lang w:val="en-US" w:eastAsia="zh-CN"/>
        </w:rPr>
        <w:tab/>
      </w:r>
      <w:r>
        <w:rPr>
          <w:rFonts w:hint="default" w:ascii="Times New Roman" w:hAnsi="Times New Roman" w:eastAsia="仿宋_GB2312" w:cs="Times New Roman"/>
          <w:b w:val="0"/>
          <w:bCs w:val="0"/>
          <w:color w:val="auto"/>
          <w:sz w:val="32"/>
          <w:szCs w:val="32"/>
          <w:lang w:val="en-US" w:eastAsia="zh-CN"/>
        </w:rPr>
        <w:t>3条。</w:t>
      </w:r>
    </w:p>
    <w:p>
      <w:pPr>
        <w:pageBreakBefore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b w:val="0"/>
          <w:bCs w:val="0"/>
          <w:color w:val="auto"/>
          <w:sz w:val="32"/>
          <w:szCs w:val="32"/>
          <w:lang w:val="en-US" w:eastAsia="zh-CN"/>
        </w:rPr>
      </w:pPr>
      <w:r>
        <w:rPr>
          <w:color w:val="auto"/>
        </w:rPr>
        <w:drawing>
          <wp:anchor distT="0" distB="0" distL="114300" distR="114300" simplePos="0" relativeHeight="251659264" behindDoc="1" locked="0" layoutInCell="1" allowOverlap="1">
            <wp:simplePos x="0" y="0"/>
            <wp:positionH relativeFrom="column">
              <wp:posOffset>1209675</wp:posOffset>
            </wp:positionH>
            <wp:positionV relativeFrom="paragraph">
              <wp:posOffset>266700</wp:posOffset>
            </wp:positionV>
            <wp:extent cx="3228340" cy="1800225"/>
            <wp:effectExtent l="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clrChange>
                        <a:clrFrom>
                          <a:srgbClr val="C7EDCC">
                            <a:alpha val="100000"/>
                          </a:srgbClr>
                        </a:clrFrom>
                        <a:clrTo>
                          <a:srgbClr val="C7EDCC">
                            <a:alpha val="100000"/>
                            <a:alpha val="0"/>
                          </a:srgbClr>
                        </a:clrTo>
                      </a:clrChange>
                    </a:blip>
                    <a:stretch>
                      <a:fillRect/>
                    </a:stretch>
                  </pic:blipFill>
                  <pic:spPr>
                    <a:xfrm>
                      <a:off x="0" y="0"/>
                      <a:ext cx="3228340" cy="1800225"/>
                    </a:xfrm>
                    <a:prstGeom prst="rect">
                      <a:avLst/>
                    </a:prstGeom>
                    <a:noFill/>
                    <a:ln>
                      <a:noFill/>
                    </a:ln>
                  </pic:spPr>
                </pic:pic>
              </a:graphicData>
            </a:graphic>
          </wp:anchor>
        </w:drawing>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rPr>
      </w:pP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rPr>
      </w:pPr>
    </w:p>
    <w:p>
      <w:pPr>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b/>
          <w:bCs/>
          <w:color w:val="auto"/>
          <w:sz w:val="32"/>
          <w:szCs w:val="32"/>
        </w:rPr>
      </w:pPr>
    </w:p>
    <w:p>
      <w:pPr>
        <w:pageBreakBefore w:val="0"/>
        <w:kinsoku/>
        <w:wordWrap/>
        <w:overflowPunct/>
        <w:topLinePunct w:val="0"/>
        <w:autoSpaceDE/>
        <w:autoSpaceDN/>
        <w:bidi w:val="0"/>
        <w:adjustRightInd/>
        <w:snapToGrid/>
        <w:spacing w:line="600" w:lineRule="exact"/>
        <w:textAlignment w:val="auto"/>
        <w:rPr>
          <w:rFonts w:ascii="仿宋_GB2312" w:eastAsia="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default" w:ascii="Times New Roman" w:hAnsi="Times New Roman" w:eastAsia="楷体_GB2312" w:cs="Times New Roman"/>
          <w:b w:val="0"/>
          <w:bCs w:val="0"/>
          <w:color w:val="auto"/>
          <w:sz w:val="32"/>
          <w:szCs w:val="32"/>
        </w:rPr>
        <w:t>2.依申请公开</w:t>
      </w:r>
      <w:r>
        <w:rPr>
          <w:rFonts w:hint="default" w:ascii="Times New Roman" w:hAnsi="Times New Roman" w:eastAsia="楷体_GB2312" w:cs="Times New Roman"/>
          <w:b w:val="0"/>
          <w:bCs w:val="0"/>
          <w:color w:val="auto"/>
          <w:sz w:val="32"/>
          <w:szCs w:val="32"/>
          <w:lang w:eastAsia="zh-CN"/>
        </w:rPr>
        <w:t>情况</w:t>
      </w:r>
      <w:r>
        <w:rPr>
          <w:rFonts w:hint="default" w:ascii="Times New Roman" w:hAnsi="Times New Roman" w:eastAsia="楷体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2021年区人社局共收到依申请信息公开2件，1件属于主动公开信息，已告知申请人获取信息的方式、途径；1件不属于本机关负责公开，已告知申请人相关行政机关的名称、联系方式。2件均按规定时限答复，无涉及政府信息公开的行政复议、行政诉讼案件。</w:t>
      </w:r>
    </w:p>
    <w:p>
      <w:pPr>
        <w:pageBreakBefore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b w:val="0"/>
          <w:bCs w:val="0"/>
          <w:color w:val="auto"/>
          <w:sz w:val="32"/>
          <w:szCs w:val="32"/>
          <w:lang w:val="en-US" w:eastAsia="zh-CN"/>
        </w:rPr>
      </w:pPr>
    </w:p>
    <w:p>
      <w:pPr>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b/>
          <w:bCs/>
          <w:color w:val="auto"/>
          <w:sz w:val="32"/>
          <w:szCs w:val="32"/>
        </w:rPr>
      </w:pPr>
    </w:p>
    <w:p>
      <w:pPr>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b/>
          <w:bCs/>
          <w:color w:val="auto"/>
          <w:sz w:val="32"/>
          <w:szCs w:val="32"/>
        </w:rPr>
      </w:pPr>
    </w:p>
    <w:p>
      <w:pPr>
        <w:pageBreakBefore w:val="0"/>
        <w:kinsoku/>
        <w:wordWrap/>
        <w:overflowPunct/>
        <w:topLinePunct w:val="0"/>
        <w:autoSpaceDE/>
        <w:autoSpaceDN/>
        <w:bidi w:val="0"/>
        <w:adjustRightInd/>
        <w:snapToGrid/>
        <w:spacing w:line="600" w:lineRule="exact"/>
        <w:ind w:firstLine="420" w:firstLineChars="200"/>
        <w:textAlignment w:val="auto"/>
        <w:rPr>
          <w:rFonts w:ascii="仿宋_GB2312" w:eastAsia="仿宋_GB2312"/>
          <w:b/>
          <w:bCs/>
          <w:color w:val="auto"/>
          <w:sz w:val="32"/>
          <w:szCs w:val="32"/>
        </w:rPr>
      </w:pPr>
      <w:r>
        <w:rPr>
          <w:color w:val="auto"/>
        </w:rPr>
        <w:drawing>
          <wp:anchor distT="0" distB="0" distL="114300" distR="114300" simplePos="0" relativeHeight="251660288" behindDoc="1" locked="0" layoutInCell="1" allowOverlap="1">
            <wp:simplePos x="0" y="0"/>
            <wp:positionH relativeFrom="column">
              <wp:posOffset>495300</wp:posOffset>
            </wp:positionH>
            <wp:positionV relativeFrom="paragraph">
              <wp:posOffset>-99060</wp:posOffset>
            </wp:positionV>
            <wp:extent cx="4200525" cy="2520315"/>
            <wp:effectExtent l="0" t="0" r="0" b="0"/>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4200525" cy="2520315"/>
                    </a:xfrm>
                    <a:prstGeom prst="rect">
                      <a:avLst/>
                    </a:prstGeom>
                    <a:noFill/>
                    <a:ln>
                      <a:noFill/>
                    </a:ln>
                  </pic:spPr>
                </pic:pic>
              </a:graphicData>
            </a:graphic>
          </wp:anchor>
        </w:drawing>
      </w:r>
    </w:p>
    <w:p>
      <w:pPr>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b/>
          <w:bCs/>
          <w:color w:val="auto"/>
          <w:sz w:val="32"/>
          <w:szCs w:val="32"/>
        </w:rPr>
      </w:pPr>
    </w:p>
    <w:p>
      <w:pPr>
        <w:pageBreakBefore w:val="0"/>
        <w:kinsoku/>
        <w:wordWrap/>
        <w:overflowPunct/>
        <w:topLinePunct w:val="0"/>
        <w:autoSpaceDE/>
        <w:autoSpaceDN/>
        <w:bidi w:val="0"/>
        <w:adjustRightInd/>
        <w:snapToGrid/>
        <w:spacing w:line="600" w:lineRule="exact"/>
        <w:textAlignment w:val="auto"/>
        <w:rPr>
          <w:rFonts w:ascii="仿宋_GB2312" w:eastAsia="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val="0"/>
          <w:bCs w:val="0"/>
          <w:color w:val="auto"/>
          <w:sz w:val="32"/>
          <w:szCs w:val="32"/>
        </w:rPr>
        <w:t>3.政府信息管理</w:t>
      </w:r>
      <w:r>
        <w:rPr>
          <w:rFonts w:hint="default" w:ascii="Times New Roman" w:hAnsi="Times New Roman" w:eastAsia="楷体_GB2312" w:cs="Times New Roman"/>
          <w:b w:val="0"/>
          <w:bCs w:val="0"/>
          <w:color w:val="auto"/>
          <w:sz w:val="32"/>
          <w:szCs w:val="32"/>
          <w:lang w:eastAsia="zh-CN"/>
        </w:rPr>
        <w:t>情况</w:t>
      </w:r>
      <w:r>
        <w:rPr>
          <w:rFonts w:hint="default" w:ascii="Times New Roman" w:hAnsi="Times New Roman" w:eastAsia="楷体_GB2312" w:cs="Times New Roman"/>
          <w:b w:val="0"/>
          <w:bCs w:val="0"/>
          <w:color w:val="auto"/>
          <w:sz w:val="32"/>
          <w:szCs w:val="32"/>
        </w:rPr>
        <w:t>。</w:t>
      </w:r>
      <w:r>
        <w:rPr>
          <w:rFonts w:hint="default" w:ascii="Times New Roman" w:hAnsi="Times New Roman" w:eastAsia="仿宋_GB2312" w:cs="Times New Roman"/>
          <w:color w:val="auto"/>
          <w:sz w:val="32"/>
          <w:szCs w:val="32"/>
        </w:rPr>
        <w:t>完善各股室、局属各单位各司其职、分工协作的信息管理体系，严格执行政府信息公开</w:t>
      </w:r>
      <w:r>
        <w:rPr>
          <w:rFonts w:hint="default" w:ascii="Times New Roman" w:hAnsi="Times New Roman" w:eastAsia="仿宋_GB2312" w:cs="Times New Roman"/>
          <w:color w:val="auto"/>
          <w:sz w:val="32"/>
          <w:szCs w:val="32"/>
          <w:lang w:eastAsia="zh-CN"/>
        </w:rPr>
        <w:t>审查</w:t>
      </w:r>
      <w:r>
        <w:rPr>
          <w:rFonts w:hint="default" w:ascii="Times New Roman" w:hAnsi="Times New Roman" w:eastAsia="仿宋_GB2312" w:cs="Times New Roman"/>
          <w:color w:val="auto"/>
          <w:sz w:val="32"/>
          <w:szCs w:val="32"/>
        </w:rPr>
        <w:t>制度</w:t>
      </w:r>
      <w:r>
        <w:rPr>
          <w:rFonts w:hint="default" w:ascii="Times New Roman" w:hAnsi="Times New Roman" w:eastAsia="仿宋_GB2312" w:cs="Times New Roman"/>
          <w:color w:val="auto"/>
          <w:sz w:val="32"/>
          <w:szCs w:val="32"/>
          <w:lang w:eastAsia="zh-CN"/>
        </w:rPr>
        <w:t>，规范信息报送流程，由各股室、各单位负责同志对主动公开的信息内容和依申请公开答复事项进行信息初审，经分管领导审核同意后报局政务公开工作领导小组办公室进行保密审查，</w:t>
      </w:r>
      <w:r>
        <w:rPr>
          <w:rFonts w:hint="default" w:ascii="Times New Roman" w:hAnsi="Times New Roman" w:eastAsia="仿宋_GB2312" w:cs="Times New Roman"/>
          <w:color w:val="auto"/>
          <w:sz w:val="32"/>
          <w:szCs w:val="32"/>
        </w:rPr>
        <w:t>切实做到人人有责、层层负责</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规范有序、高效透明，确保信息内容准确合规。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val="0"/>
          <w:color w:val="auto"/>
          <w:sz w:val="32"/>
          <w:szCs w:val="32"/>
        </w:rPr>
        <w:t>4.政府信息公开平台建设</w:t>
      </w:r>
      <w:r>
        <w:rPr>
          <w:rFonts w:hint="default" w:ascii="Times New Roman" w:hAnsi="Times New Roman" w:eastAsia="楷体_GB2312" w:cs="Times New Roman"/>
          <w:b w:val="0"/>
          <w:bCs w:val="0"/>
          <w:color w:val="auto"/>
          <w:sz w:val="32"/>
          <w:szCs w:val="32"/>
          <w:lang w:eastAsia="zh-CN"/>
        </w:rPr>
        <w:t>情况</w:t>
      </w:r>
      <w:r>
        <w:rPr>
          <w:rFonts w:hint="default" w:ascii="Times New Roman" w:hAnsi="Times New Roman" w:eastAsia="楷体_GB2312" w:cs="Times New Roman"/>
          <w:b w:val="0"/>
          <w:bCs w:val="0"/>
          <w:color w:val="auto"/>
          <w:sz w:val="32"/>
          <w:szCs w:val="32"/>
        </w:rPr>
        <w:t>。</w:t>
      </w:r>
      <w:r>
        <w:rPr>
          <w:rFonts w:hint="default" w:ascii="Times New Roman" w:hAnsi="Times New Roman" w:eastAsia="仿宋_GB2312" w:cs="Times New Roman"/>
          <w:color w:val="auto"/>
          <w:sz w:val="32"/>
          <w:szCs w:val="32"/>
          <w:lang w:eastAsia="zh-CN"/>
        </w:rPr>
        <w:t>区人社局</w:t>
      </w:r>
      <w:r>
        <w:rPr>
          <w:rFonts w:hint="default" w:ascii="Times New Roman" w:hAnsi="Times New Roman" w:eastAsia="仿宋_GB2312" w:cs="Times New Roman"/>
          <w:color w:val="auto"/>
          <w:sz w:val="32"/>
          <w:szCs w:val="32"/>
        </w:rPr>
        <w:t>无独立门户网站，</w:t>
      </w:r>
      <w:r>
        <w:rPr>
          <w:rFonts w:hint="default" w:ascii="Times New Roman" w:hAnsi="Times New Roman" w:eastAsia="仿宋_GB2312" w:cs="Times New Roman"/>
          <w:color w:val="auto"/>
          <w:sz w:val="32"/>
          <w:szCs w:val="32"/>
          <w:lang w:eastAsia="zh-CN"/>
        </w:rPr>
        <w:t>政务公开信息主要通过区政府门户网站发布。</w:t>
      </w:r>
      <w:r>
        <w:rPr>
          <w:rFonts w:hint="default" w:ascii="Times New Roman" w:hAnsi="Times New Roman" w:eastAsia="楷体_GB2312" w:cs="Times New Roman"/>
          <w:b w:val="0"/>
          <w:bCs w:val="0"/>
          <w:color w:val="auto"/>
          <w:sz w:val="32"/>
          <w:szCs w:val="32"/>
        </w:rPr>
        <w:t>2</w:t>
      </w:r>
      <w:r>
        <w:rPr>
          <w:rFonts w:hint="default" w:ascii="Times New Roman" w:hAnsi="Times New Roman" w:eastAsia="仿宋_GB2312" w:cs="Times New Roman"/>
          <w:color w:val="auto"/>
          <w:sz w:val="32"/>
          <w:szCs w:val="32"/>
        </w:rPr>
        <w:t>021年度，</w:t>
      </w:r>
      <w:r>
        <w:rPr>
          <w:rFonts w:hint="default" w:ascii="Times New Roman" w:hAnsi="Times New Roman" w:eastAsia="仿宋_GB2312" w:cs="Times New Roman"/>
          <w:color w:val="auto"/>
          <w:sz w:val="32"/>
          <w:szCs w:val="32"/>
          <w:lang w:eastAsia="zh-CN"/>
        </w:rPr>
        <w:t>区人社局严格按照区政府集约化智能门户平台</w:t>
      </w:r>
      <w:r>
        <w:rPr>
          <w:rFonts w:hint="default" w:ascii="Times New Roman" w:hAnsi="Times New Roman" w:eastAsia="仿宋_GB2312" w:cs="Times New Roman"/>
          <w:color w:val="auto"/>
          <w:sz w:val="32"/>
          <w:szCs w:val="32"/>
        </w:rPr>
        <w:t>板块及栏目设置</w:t>
      </w:r>
      <w:r>
        <w:rPr>
          <w:rFonts w:hint="default" w:ascii="Times New Roman" w:hAnsi="Times New Roman" w:eastAsia="仿宋_GB2312" w:cs="Times New Roman"/>
          <w:color w:val="auto"/>
          <w:sz w:val="32"/>
          <w:szCs w:val="32"/>
          <w:lang w:eastAsia="zh-CN"/>
        </w:rPr>
        <w:t>公开各项政务信息</w:t>
      </w:r>
      <w:r>
        <w:rPr>
          <w:rFonts w:hint="default" w:ascii="Times New Roman" w:hAnsi="Times New Roman" w:eastAsia="仿宋_GB2312" w:cs="Times New Roman"/>
          <w:color w:val="auto"/>
          <w:sz w:val="32"/>
          <w:szCs w:val="32"/>
        </w:rPr>
        <w:t>，确保应有公开栏目不漏项，</w:t>
      </w:r>
      <w:r>
        <w:rPr>
          <w:rFonts w:hint="default" w:ascii="Times New Roman" w:hAnsi="Times New Roman" w:eastAsia="仿宋_GB2312" w:cs="Times New Roman"/>
          <w:color w:val="auto"/>
          <w:sz w:val="32"/>
          <w:szCs w:val="32"/>
          <w:lang w:eastAsia="zh-CN"/>
        </w:rPr>
        <w:t>信息报送保质保量</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积极推动政务新媒体建设，</w:t>
      </w:r>
      <w:r>
        <w:rPr>
          <w:rFonts w:hint="default" w:ascii="Times New Roman" w:hAnsi="Times New Roman" w:eastAsia="仿宋_GB2312" w:cs="Times New Roman"/>
          <w:color w:val="auto"/>
          <w:sz w:val="32"/>
          <w:szCs w:val="32"/>
          <w:lang w:val="en-US" w:eastAsia="zh-CN"/>
        </w:rPr>
        <w:t>2021年“薛城人社发布”微信公众号共发布信息258条，及时与微信用户进行“互动”，回复用户关心的就业创业、社会保障、劳动维权、人事人才等问题。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color w:val="auto"/>
          <w:lang w:eastAsia="zh-CN"/>
        </w:rPr>
      </w:pPr>
      <w:r>
        <w:rPr>
          <w:rFonts w:hint="default" w:ascii="Times New Roman" w:hAnsi="Times New Roman" w:eastAsia="楷体_GB2312" w:cs="Times New Roman"/>
          <w:b w:val="0"/>
          <w:bCs w:val="0"/>
          <w:color w:val="auto"/>
          <w:sz w:val="32"/>
          <w:szCs w:val="32"/>
        </w:rPr>
        <w:t>5.监督保障</w:t>
      </w:r>
      <w:r>
        <w:rPr>
          <w:rFonts w:hint="default" w:ascii="Times New Roman" w:hAnsi="Times New Roman" w:eastAsia="楷体_GB2312" w:cs="Times New Roman"/>
          <w:b w:val="0"/>
          <w:bCs w:val="0"/>
          <w:color w:val="auto"/>
          <w:sz w:val="32"/>
          <w:szCs w:val="32"/>
          <w:lang w:eastAsia="zh-CN"/>
        </w:rPr>
        <w:t>情况</w:t>
      </w:r>
      <w:r>
        <w:rPr>
          <w:rFonts w:hint="default" w:ascii="Times New Roman" w:hAnsi="Times New Roman" w:eastAsia="楷体_GB2312" w:cs="Times New Roman"/>
          <w:b w:val="0"/>
          <w:bCs w:val="0"/>
          <w:color w:val="auto"/>
          <w:sz w:val="32"/>
          <w:szCs w:val="32"/>
        </w:rPr>
        <w:t>。</w:t>
      </w:r>
      <w:r>
        <w:rPr>
          <w:rFonts w:hint="default" w:ascii="Times New Roman" w:hAnsi="Times New Roman" w:eastAsia="仿宋_GB2312" w:cs="Times New Roman"/>
          <w:color w:val="auto"/>
          <w:sz w:val="32"/>
          <w:szCs w:val="32"/>
          <w:lang w:eastAsia="zh-CN"/>
        </w:rPr>
        <w:t>根据人员变动及时调整局政务公开工作领导小组，强化组织领导，明确责任分工。定期组织政务公开信息员业务培训，强化保密意识，提升业务水平。主动接受区政务公开办及上级人社部门对我局政务信息公开情况的监督，对照监督检测出的问题及时认真做好整改工作。</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color w:val="auto"/>
        </w:rPr>
      </w:pPr>
      <w:r>
        <w:rPr>
          <w:rFonts w:hint="eastAsia" w:ascii="黑体" w:hAnsi="黑体" w:eastAsia="黑体" w:cs="黑体"/>
          <w:b w:val="0"/>
          <w:bCs w:val="0"/>
          <w:color w:val="auto"/>
          <w:lang w:eastAsia="zh-CN"/>
        </w:rPr>
        <w:t>二、</w:t>
      </w:r>
      <w:r>
        <w:rPr>
          <w:rFonts w:hint="eastAsia" w:ascii="黑体" w:hAnsi="黑体" w:eastAsia="黑体" w:cs="黑体"/>
          <w:b w:val="0"/>
          <w:bCs w:val="0"/>
          <w:color w:val="auto"/>
        </w:rPr>
        <w:t>行政机关主动公开政府信息情况</w:t>
      </w:r>
    </w:p>
    <w:tbl>
      <w:tblPr>
        <w:tblStyle w:val="6"/>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1</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1</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61.238</w:t>
            </w:r>
          </w:p>
        </w:tc>
      </w:tr>
    </w:tbl>
    <w:p>
      <w:pPr>
        <w:pStyle w:val="3"/>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黑体" w:hAnsi="黑体" w:eastAsia="黑体" w:cs="黑体"/>
          <w:b w:val="0"/>
          <w:bCs w:val="0"/>
          <w:color w:val="auto"/>
        </w:rPr>
      </w:pPr>
      <w:r>
        <w:rPr>
          <w:rFonts w:hint="eastAsia" w:ascii="黑体" w:hAnsi="黑体" w:eastAsia="黑体" w:cs="黑体"/>
          <w:b w:val="0"/>
          <w:bCs w:val="0"/>
          <w:color w:val="auto"/>
          <w:lang w:eastAsia="zh-CN"/>
        </w:rPr>
        <w:t>三、</w:t>
      </w:r>
      <w:r>
        <w:rPr>
          <w:rFonts w:hint="eastAsia" w:ascii="黑体" w:hAnsi="黑体" w:eastAsia="黑体" w:cs="黑体"/>
          <w:b w:val="0"/>
          <w:bCs w:val="0"/>
          <w:color w:val="auto"/>
        </w:rPr>
        <w:t>行政机关收到和处理政府信息公开申请情况</w:t>
      </w:r>
    </w:p>
    <w:tbl>
      <w:tblPr>
        <w:tblStyle w:val="6"/>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color w:val="auto"/>
                <w:kern w:val="0"/>
                <w:szCs w:val="21"/>
              </w:rPr>
            </w:pPr>
            <w:r>
              <w:rPr>
                <w:rFonts w:hint="eastAsia" w:ascii="楷体_GB2312" w:hAnsi="黑体" w:eastAsia="楷体_GB2312"/>
                <w:color w:val="auto"/>
                <w:kern w:val="0"/>
                <w:szCs w:val="21"/>
              </w:rPr>
              <w:t>（本列数据的勾稽关系为：第一项加第二项之和，</w:t>
            </w:r>
          </w:p>
          <w:p>
            <w:pPr>
              <w:widowControl/>
              <w:jc w:val="center"/>
              <w:rPr>
                <w:rFonts w:ascii="仿宋_GB2312" w:hAnsi="Times New Roman" w:eastAsia="仿宋_GB2312"/>
                <w:color w:val="auto"/>
                <w:szCs w:val="21"/>
              </w:rPr>
            </w:pPr>
            <w:r>
              <w:rPr>
                <w:rFonts w:hint="eastAsia" w:ascii="楷体_GB2312" w:hAnsi="黑体" w:eastAsia="楷体_GB2312"/>
                <w:color w:val="auto"/>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color w:val="auto"/>
                <w:szCs w:val="21"/>
              </w:rPr>
            </w:pPr>
            <w:r>
              <w:rPr>
                <w:rFonts w:hint="eastAsia" w:ascii="黑体" w:hAnsi="黑体" w:eastAsia="黑体"/>
                <w:color w:val="auto"/>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color w:val="auto"/>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color w:val="auto"/>
                <w:szCs w:val="21"/>
              </w:rPr>
            </w:pPr>
            <w:r>
              <w:rPr>
                <w:rFonts w:hint="eastAsia" w:ascii="黑体" w:hAnsi="黑体" w:eastAsia="黑体"/>
                <w:color w:val="auto"/>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color w:val="auto"/>
                <w:szCs w:val="21"/>
              </w:rPr>
            </w:pPr>
            <w:r>
              <w:rPr>
                <w:rFonts w:hint="eastAsia" w:ascii="黑体" w:hAnsi="黑体" w:eastAsia="黑体"/>
                <w:color w:val="auto"/>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color w:val="auto"/>
                <w:szCs w:val="21"/>
              </w:rPr>
            </w:pPr>
            <w:r>
              <w:rPr>
                <w:rFonts w:hint="eastAsia" w:ascii="黑体" w:hAnsi="黑体" w:eastAsia="黑体"/>
                <w:color w:val="auto"/>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color w:val="auto"/>
                <w:szCs w:val="21"/>
              </w:rPr>
            </w:pPr>
          </w:p>
        </w:tc>
        <w:tc>
          <w:tcPr>
            <w:tcW w:w="82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color w:val="auto"/>
                <w:szCs w:val="21"/>
              </w:rPr>
            </w:pPr>
            <w:r>
              <w:rPr>
                <w:rFonts w:hint="eastAsia" w:ascii="黑体" w:hAnsi="黑体" w:eastAsia="黑体"/>
                <w:color w:val="auto"/>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color w:val="auto"/>
                <w:szCs w:val="21"/>
              </w:rPr>
            </w:pPr>
            <w:r>
              <w:rPr>
                <w:rFonts w:hint="eastAsia" w:ascii="黑体" w:hAnsi="黑体" w:eastAsia="黑体"/>
                <w:color w:val="auto"/>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color w:val="auto"/>
                <w:szCs w:val="21"/>
              </w:rPr>
            </w:pPr>
            <w:r>
              <w:rPr>
                <w:rFonts w:hint="eastAsia" w:ascii="黑体" w:hAnsi="黑体" w:eastAsia="黑体"/>
                <w:color w:val="auto"/>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color w:val="auto"/>
                <w:szCs w:val="21"/>
              </w:rPr>
            </w:pPr>
            <w:r>
              <w:rPr>
                <w:rFonts w:hint="eastAsia" w:ascii="黑体" w:hAnsi="黑体" w:eastAsia="黑体"/>
                <w:color w:val="auto"/>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color w:val="auto"/>
                <w:szCs w:val="21"/>
              </w:rPr>
            </w:pPr>
            <w:r>
              <w:rPr>
                <w:rFonts w:hint="eastAsia" w:ascii="黑体" w:hAnsi="黑体" w:eastAsia="黑体"/>
                <w:color w:val="auto"/>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93" w:type="dxa"/>
            <w:gridSpan w:val="3"/>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一、本年新收政府信息公开申请数量</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2</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93" w:type="dxa"/>
            <w:gridSpan w:val="3"/>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二、上年结转政府信息公开申请数量</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color w:val="auto"/>
                <w:szCs w:val="21"/>
              </w:rPr>
            </w:pPr>
            <w:r>
              <w:rPr>
                <w:rFonts w:hint="eastAsia" w:ascii="黑体" w:hAnsi="黑体" w:eastAsia="黑体"/>
                <w:color w:val="auto"/>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（一）予以公开</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1</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4677" w:type="dxa"/>
            <w:gridSpan w:val="2"/>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（二）部分公开（区分处理的，只计这一情形，不计其他情形）</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1.属于国家秘密</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2.其他法律行政法规禁止公开</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3.危及“三安全一稳定”</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4.保护第三方合法权益</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5.属于三类内部事务信息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6.属于四类过程性信息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7.属于行政执法案卷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8.属于行政查询事项</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1.本机关不掌握相关政府信息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1</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2.没有现成信息需要另行制作</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3.补正后申请内容仍不明确</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1.信访举报投诉类申请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2.重复申请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szCs w:val="21"/>
              </w:rPr>
            </w:pPr>
            <w:r>
              <w:rPr>
                <w:rFonts w:hint="eastAsia" w:ascii="仿宋_GB2312" w:hAnsi="黑体" w:eastAsia="仿宋_GB2312"/>
                <w:color w:val="auto"/>
                <w:kern w:val="0"/>
                <w:szCs w:val="21"/>
              </w:rPr>
              <w:t>3.要求提供公开出版物</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szCs w:val="21"/>
              </w:rPr>
            </w:pPr>
            <w:r>
              <w:rPr>
                <w:rFonts w:hint="eastAsia" w:ascii="仿宋_GB2312" w:hAnsi="黑体" w:eastAsia="仿宋_GB2312"/>
                <w:color w:val="auto"/>
                <w:kern w:val="0"/>
                <w:szCs w:val="21"/>
              </w:rPr>
              <w:t>4.无正当理由大量反复申请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color w:val="auto"/>
                <w:kern w:val="0"/>
                <w:szCs w:val="21"/>
              </w:rPr>
            </w:pPr>
            <w:r>
              <w:rPr>
                <w:rFonts w:hint="eastAsia" w:ascii="仿宋_GB2312" w:hAnsi="黑体" w:eastAsia="仿宋_GB2312"/>
                <w:color w:val="auto"/>
                <w:kern w:val="0"/>
                <w:szCs w:val="21"/>
              </w:rPr>
              <w:t>5.要求行政机关确认或重新</w:t>
            </w:r>
          </w:p>
          <w:p>
            <w:pPr>
              <w:widowControl/>
              <w:spacing w:line="300" w:lineRule="exact"/>
              <w:ind w:firstLine="210" w:firstLineChars="100"/>
              <w:rPr>
                <w:rFonts w:ascii="仿宋_GB2312" w:hAnsi="黑体" w:eastAsia="仿宋_GB2312"/>
                <w:color w:val="auto"/>
                <w:szCs w:val="21"/>
              </w:rPr>
            </w:pPr>
            <w:r>
              <w:rPr>
                <w:rFonts w:hint="eastAsia" w:ascii="仿宋_GB2312" w:hAnsi="黑体" w:eastAsia="仿宋_GB2312"/>
                <w:color w:val="auto"/>
                <w:kern w:val="0"/>
                <w:szCs w:val="21"/>
              </w:rPr>
              <w:t>出具已获取信息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r>
              <w:rPr>
                <w:rFonts w:hint="eastAsia" w:ascii="黑体" w:hAnsi="黑体" w:eastAsia="黑体"/>
                <w:color w:val="auto"/>
                <w:kern w:val="0"/>
                <w:szCs w:val="21"/>
              </w:rPr>
              <w:t>（六）其他处理</w:t>
            </w: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楷体" w:eastAsia="仿宋_GB2312"/>
                <w:color w:val="auto"/>
              </w:rPr>
            </w:pPr>
            <w:r>
              <w:rPr>
                <w:rFonts w:hint="eastAsia" w:ascii="仿宋_GB2312" w:hAnsi="楷体" w:eastAsia="仿宋_GB2312"/>
                <w:color w:val="auto"/>
              </w:rPr>
              <w:t>1.申请人无正当理由逾期不补正、行政机关不再处理其政府信息公开申请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p>
        </w:tc>
        <w:tc>
          <w:tcPr>
            <w:tcW w:w="2976" w:type="dxa"/>
            <w:shd w:val="clear" w:color="auto" w:fill="auto"/>
            <w:vAlign w:val="center"/>
          </w:tcPr>
          <w:p>
            <w:pPr>
              <w:widowControl/>
              <w:spacing w:line="300" w:lineRule="exact"/>
              <w:rPr>
                <w:rFonts w:ascii="仿宋_GB2312" w:hAnsi="黑体" w:eastAsia="仿宋_GB2312"/>
                <w:color w:val="auto"/>
                <w:kern w:val="0"/>
                <w:szCs w:val="21"/>
              </w:rPr>
            </w:pPr>
            <w:r>
              <w:rPr>
                <w:rFonts w:hint="eastAsia" w:ascii="仿宋_GB2312" w:hAnsi="楷体" w:eastAsia="仿宋_GB2312"/>
                <w:color w:val="auto"/>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p>
        </w:tc>
        <w:tc>
          <w:tcPr>
            <w:tcW w:w="2976" w:type="dxa"/>
            <w:shd w:val="clear" w:color="auto" w:fill="auto"/>
            <w:vAlign w:val="center"/>
          </w:tcPr>
          <w:p>
            <w:pPr>
              <w:widowControl/>
              <w:spacing w:line="300" w:lineRule="exact"/>
              <w:rPr>
                <w:rFonts w:ascii="仿宋_GB2312" w:hAnsi="黑体" w:eastAsia="仿宋_GB2312"/>
                <w:color w:val="auto"/>
                <w:kern w:val="0"/>
                <w:szCs w:val="21"/>
              </w:rPr>
            </w:pPr>
            <w:r>
              <w:rPr>
                <w:rFonts w:hint="eastAsia" w:ascii="仿宋_GB2312" w:hAnsi="楷体" w:eastAsia="仿宋_GB2312"/>
                <w:color w:val="auto"/>
              </w:rPr>
              <w:t>3.其他</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r>
              <w:rPr>
                <w:rFonts w:hint="eastAsia" w:ascii="黑体" w:hAnsi="黑体" w:eastAsia="黑体"/>
                <w:color w:val="auto"/>
                <w:kern w:val="0"/>
                <w:szCs w:val="21"/>
              </w:rPr>
              <w:t>（七）总计</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2</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r>
              <w:rPr>
                <w:rFonts w:hint="eastAsia" w:ascii="黑体" w:hAnsi="黑体" w:eastAsia="黑体"/>
                <w:color w:val="auto"/>
                <w:kern w:val="0"/>
                <w:szCs w:val="21"/>
              </w:rPr>
              <w:t>四、结转下年度继续办理</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bl>
    <w:p>
      <w:pPr>
        <w:pStyle w:val="3"/>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黑体" w:hAnsi="黑体" w:eastAsia="黑体" w:cs="黑体"/>
          <w:b w:val="0"/>
          <w:bCs w:val="0"/>
          <w:color w:val="auto"/>
          <w:lang w:eastAsia="zh-CN"/>
        </w:rPr>
      </w:pP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rPr>
      </w:pPr>
      <w:r>
        <w:rPr>
          <w:rFonts w:hint="eastAsia" w:ascii="黑体" w:hAnsi="黑体" w:eastAsia="黑体" w:cs="黑体"/>
          <w:b w:val="0"/>
          <w:bCs w:val="0"/>
          <w:color w:val="auto"/>
          <w:lang w:eastAsia="zh-CN"/>
        </w:rPr>
        <w:t>四、</w:t>
      </w:r>
      <w:r>
        <w:rPr>
          <w:rFonts w:hint="eastAsia" w:ascii="黑体" w:hAnsi="黑体" w:eastAsia="黑体" w:cs="黑体"/>
          <w:b w:val="0"/>
          <w:bCs w:val="0"/>
          <w:color w:val="auto"/>
        </w:rPr>
        <w:t>因政府信息公开工作被申请行政复议、提起行政诉讼情况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color w:val="auto"/>
                <w:kern w:val="0"/>
                <w:sz w:val="20"/>
                <w:szCs w:val="20"/>
              </w:rPr>
            </w:pPr>
            <w:r>
              <w:rPr>
                <w:rFonts w:ascii="黑体" w:hAnsi="黑体" w:eastAsia="黑体"/>
                <w:color w:val="auto"/>
                <w:kern w:val="0"/>
                <w:sz w:val="20"/>
                <w:szCs w:val="20"/>
              </w:rPr>
              <w:t>结果</w:t>
            </w:r>
          </w:p>
          <w:p>
            <w:pPr>
              <w:widowControl/>
              <w:ind w:left="-149" w:leftChars="-71" w:right="-170" w:rightChars="-81"/>
              <w:jc w:val="center"/>
              <w:rPr>
                <w:rFonts w:ascii="黑体" w:hAnsi="黑体" w:eastAsia="黑体"/>
                <w:color w:val="auto"/>
              </w:rPr>
            </w:pPr>
            <w:r>
              <w:rPr>
                <w:rFonts w:ascii="黑体" w:hAnsi="黑体" w:eastAsia="黑体"/>
                <w:color w:val="auto"/>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color w:val="auto"/>
              </w:rPr>
            </w:pPr>
            <w:r>
              <w:rPr>
                <w:rFonts w:ascii="黑体" w:hAnsi="黑体" w:eastAsia="黑体"/>
                <w:color w:val="auto"/>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color w:val="auto"/>
              </w:rPr>
            </w:pPr>
            <w:r>
              <w:rPr>
                <w:rFonts w:ascii="黑体" w:hAnsi="黑体" w:eastAsia="黑体"/>
                <w:color w:val="auto"/>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color w:val="auto"/>
                <w:kern w:val="0"/>
                <w:sz w:val="20"/>
                <w:szCs w:val="20"/>
              </w:rPr>
            </w:pPr>
            <w:r>
              <w:rPr>
                <w:rFonts w:ascii="黑体" w:hAnsi="黑体" w:eastAsia="黑体"/>
                <w:color w:val="auto"/>
                <w:kern w:val="0"/>
                <w:sz w:val="20"/>
                <w:szCs w:val="20"/>
              </w:rPr>
              <w:t>尚未</w:t>
            </w:r>
          </w:p>
          <w:p>
            <w:pPr>
              <w:widowControl/>
              <w:ind w:left="-118" w:leftChars="-56" w:right="-118" w:rightChars="-56"/>
              <w:jc w:val="center"/>
              <w:rPr>
                <w:rFonts w:ascii="黑体" w:hAnsi="黑体" w:eastAsia="黑体"/>
                <w:color w:val="auto"/>
              </w:rPr>
            </w:pPr>
            <w:r>
              <w:rPr>
                <w:rFonts w:ascii="黑体" w:hAnsi="黑体" w:eastAsia="黑体"/>
                <w:color w:val="auto"/>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color w:val="auto"/>
                <w:kern w:val="0"/>
                <w:sz w:val="20"/>
                <w:szCs w:val="20"/>
              </w:rPr>
            </w:pPr>
            <w:r>
              <w:rPr>
                <w:rFonts w:ascii="黑体" w:hAnsi="黑体" w:eastAsia="黑体"/>
                <w:color w:val="auto"/>
                <w:kern w:val="0"/>
                <w:sz w:val="20"/>
                <w:szCs w:val="20"/>
              </w:rPr>
              <w:t>总</w:t>
            </w:r>
          </w:p>
          <w:p>
            <w:pPr>
              <w:widowControl/>
              <w:spacing w:line="320" w:lineRule="exact"/>
              <w:jc w:val="center"/>
              <w:rPr>
                <w:rFonts w:ascii="黑体" w:hAnsi="黑体" w:eastAsia="黑体"/>
                <w:color w:val="auto"/>
              </w:rPr>
            </w:pPr>
            <w:r>
              <w:rPr>
                <w:rFonts w:ascii="黑体" w:hAnsi="黑体" w:eastAsia="黑体"/>
                <w:color w:val="auto"/>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color w:val="auto"/>
              </w:rPr>
            </w:pPr>
            <w:r>
              <w:rPr>
                <w:rFonts w:ascii="黑体" w:hAnsi="黑体" w:eastAsia="黑体"/>
                <w:color w:val="auto"/>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color w:val="auto"/>
              </w:rPr>
            </w:pPr>
            <w:r>
              <w:rPr>
                <w:rFonts w:ascii="黑体" w:hAnsi="黑体" w:eastAsia="黑体"/>
                <w:color w:val="auto"/>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color w:val="auto"/>
                <w:kern w:val="0"/>
                <w:sz w:val="20"/>
                <w:szCs w:val="20"/>
              </w:rPr>
            </w:pPr>
            <w:r>
              <w:rPr>
                <w:rFonts w:ascii="黑体" w:hAnsi="黑体" w:eastAsia="黑体"/>
                <w:color w:val="auto"/>
                <w:kern w:val="0"/>
                <w:sz w:val="20"/>
                <w:szCs w:val="20"/>
              </w:rPr>
              <w:t>其他</w:t>
            </w:r>
          </w:p>
          <w:p>
            <w:pPr>
              <w:widowControl/>
              <w:ind w:left="-126" w:leftChars="-60" w:right="-136" w:rightChars="-65"/>
              <w:jc w:val="center"/>
              <w:rPr>
                <w:rFonts w:ascii="黑体" w:hAnsi="黑体" w:eastAsia="黑体"/>
                <w:color w:val="auto"/>
              </w:rPr>
            </w:pPr>
            <w:r>
              <w:rPr>
                <w:rFonts w:ascii="黑体" w:hAnsi="黑体" w:eastAsia="黑体"/>
                <w:color w:val="auto"/>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color w:val="auto"/>
                <w:kern w:val="0"/>
                <w:sz w:val="20"/>
                <w:szCs w:val="20"/>
              </w:rPr>
            </w:pPr>
            <w:r>
              <w:rPr>
                <w:rFonts w:ascii="黑体" w:hAnsi="黑体" w:eastAsia="黑体"/>
                <w:color w:val="auto"/>
                <w:kern w:val="0"/>
                <w:sz w:val="20"/>
                <w:szCs w:val="20"/>
              </w:rPr>
              <w:t>尚未</w:t>
            </w:r>
          </w:p>
          <w:p>
            <w:pPr>
              <w:widowControl/>
              <w:ind w:left="-164" w:leftChars="-78" w:right="-153" w:rightChars="-73"/>
              <w:jc w:val="center"/>
              <w:rPr>
                <w:rFonts w:ascii="黑体" w:hAnsi="黑体" w:eastAsia="黑体"/>
                <w:color w:val="auto"/>
              </w:rPr>
            </w:pPr>
            <w:r>
              <w:rPr>
                <w:rFonts w:ascii="黑体" w:hAnsi="黑体" w:eastAsia="黑体"/>
                <w:color w:val="auto"/>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color w:val="auto"/>
              </w:rPr>
            </w:pPr>
            <w:r>
              <w:rPr>
                <w:rFonts w:ascii="黑体" w:hAnsi="黑体" w:eastAsia="黑体"/>
                <w:color w:val="auto"/>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color w:val="auto"/>
                <w:kern w:val="0"/>
                <w:sz w:val="20"/>
                <w:szCs w:val="20"/>
              </w:rPr>
            </w:pPr>
            <w:r>
              <w:rPr>
                <w:rFonts w:ascii="黑体" w:hAnsi="黑体" w:eastAsia="黑体"/>
                <w:color w:val="auto"/>
                <w:kern w:val="0"/>
                <w:sz w:val="20"/>
                <w:szCs w:val="20"/>
              </w:rPr>
              <w:t>结果</w:t>
            </w:r>
          </w:p>
          <w:p>
            <w:pPr>
              <w:widowControl/>
              <w:ind w:left="-136" w:leftChars="-65" w:right="-124" w:rightChars="-59"/>
              <w:jc w:val="center"/>
              <w:rPr>
                <w:rFonts w:ascii="黑体" w:hAnsi="黑体" w:eastAsia="黑体"/>
                <w:color w:val="auto"/>
              </w:rPr>
            </w:pPr>
            <w:r>
              <w:rPr>
                <w:rFonts w:ascii="黑体" w:hAnsi="黑体" w:eastAsia="黑体"/>
                <w:color w:val="auto"/>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color w:val="auto"/>
                <w:kern w:val="0"/>
                <w:sz w:val="20"/>
                <w:szCs w:val="20"/>
              </w:rPr>
            </w:pPr>
            <w:r>
              <w:rPr>
                <w:rFonts w:ascii="黑体" w:hAnsi="黑体" w:eastAsia="黑体"/>
                <w:color w:val="auto"/>
                <w:kern w:val="0"/>
                <w:sz w:val="20"/>
                <w:szCs w:val="20"/>
              </w:rPr>
              <w:t>其他</w:t>
            </w:r>
          </w:p>
          <w:p>
            <w:pPr>
              <w:widowControl/>
              <w:ind w:left="-173" w:leftChars="-83" w:right="-134" w:rightChars="-64" w:hanging="1"/>
              <w:jc w:val="center"/>
              <w:rPr>
                <w:rFonts w:ascii="黑体" w:hAnsi="黑体" w:eastAsia="黑体"/>
                <w:color w:val="auto"/>
              </w:rPr>
            </w:pPr>
            <w:r>
              <w:rPr>
                <w:rFonts w:ascii="黑体" w:hAnsi="黑体" w:eastAsia="黑体"/>
                <w:color w:val="auto"/>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color w:val="auto"/>
              </w:rPr>
            </w:pPr>
            <w:r>
              <w:rPr>
                <w:rFonts w:ascii="黑体" w:hAnsi="黑体" w:eastAsia="黑体"/>
                <w:color w:val="auto"/>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textAlignment w:val="auto"/>
              <w:rPr>
                <w:rFonts w:ascii="Times New Roman" w:hAnsi="Times New Roman"/>
                <w:color w:val="auto"/>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olor w:val="auto"/>
              </w:rPr>
            </w:pPr>
            <w:r>
              <w:rPr>
                <w:rFonts w:hint="eastAsia" w:ascii="Times New Roman" w:hAnsi="Times New Roman"/>
                <w:color w:val="auto"/>
                <w:lang w:val="en-US" w:eastAsia="zh-CN"/>
              </w:rPr>
              <w:t>0</w:t>
            </w:r>
          </w:p>
        </w:tc>
      </w:tr>
    </w:tbl>
    <w:p>
      <w:pPr>
        <w:pStyle w:val="3"/>
        <w:keepNext/>
        <w:keepLines/>
        <w:pageBreakBefore w:val="0"/>
        <w:widowControl w:val="0"/>
        <w:numPr>
          <w:ilvl w:val="0"/>
          <w:numId w:val="0"/>
        </w:numPr>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黑体" w:cs="Times New Roman"/>
          <w:b w:val="0"/>
          <w:bCs w:val="0"/>
          <w:color w:val="auto"/>
        </w:rPr>
      </w:pPr>
      <w:r>
        <w:rPr>
          <w:rFonts w:hint="default" w:ascii="Times New Roman" w:hAnsi="Times New Roman" w:eastAsia="黑体" w:cs="Times New Roman"/>
          <w:b w:val="0"/>
          <w:bCs w:val="0"/>
          <w:color w:val="auto"/>
          <w:lang w:eastAsia="zh-CN"/>
        </w:rPr>
        <w:t>五、</w:t>
      </w:r>
      <w:r>
        <w:rPr>
          <w:rFonts w:hint="default" w:ascii="Times New Roman" w:hAnsi="Times New Roman" w:eastAsia="黑体" w:cs="Times New Roman"/>
          <w:b w:val="0"/>
          <w:bCs w:val="0"/>
          <w:color w:val="auto"/>
        </w:rPr>
        <w:t>政府信息公开工作存在的主要问题及改进情况</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楷体_GB2312" w:cs="Times New Roman"/>
          <w:b w:val="0"/>
          <w:bCs w:val="0"/>
          <w:color w:val="auto"/>
          <w:lang w:eastAsia="zh-CN"/>
        </w:rPr>
      </w:pPr>
      <w:r>
        <w:rPr>
          <w:rFonts w:hint="default" w:ascii="Times New Roman" w:hAnsi="Times New Roman" w:eastAsia="楷体_GB2312" w:cs="Times New Roman"/>
          <w:b w:val="0"/>
          <w:bCs w:val="0"/>
          <w:color w:val="auto"/>
          <w:lang w:eastAsia="zh-CN"/>
        </w:rPr>
        <w:t>（一）主要问题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2021年，区人社局政府信息公开工作虽然取得了一定成绩，但离区委区政府工作要求仍有一定差距，主要存在以下几个方面的问题：一是有些股室、单位对政府信息公开工作认识不全面、不深刻，重视程度不够，相关信息公开不主动、不及时；二是主动公开的内容还需进一步规范，信息发布的质量有待进一步提高；三是信息公开的广度、深度还有待进一步挖掘，信息发布的时效性有待进一步提高；四是政府信息公开工作力量不足，信息员队伍建设有待进一步加强，业务水平有待进一步提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（二）改进措施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是要转变思想观念，正确认识深化政务公开的必要性，强化政务公开意识，切实增强各部门做好政府信息公开工作的主动性、责任感；二是全面推进政务公开标准化规范化建设，完善信息公开制度，严格按照区政府办政务公开办和上级人社部门标准要求发布信息；三是加强组织领导，强化监督考核，压实部门责任，落实工作任务，确保我局政府信息公开工作相关制度有效落实；四是加强信息员队伍建设，强化业务培训，将信息公开工作和日常业务工作紧密结合，做到常规性工作定期公开，临时性工作随时公开，固定性工作长期公开。</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黑体" w:cs="Times New Roman"/>
          <w:b w:val="0"/>
          <w:bCs w:val="0"/>
          <w:color w:val="auto"/>
        </w:rPr>
      </w:pPr>
      <w:r>
        <w:rPr>
          <w:rFonts w:hint="default" w:ascii="Times New Roman" w:hAnsi="Times New Roman" w:eastAsia="黑体" w:cs="Times New Roman"/>
          <w:b w:val="0"/>
          <w:bCs w:val="0"/>
          <w:color w:val="auto"/>
          <w:lang w:eastAsia="zh-CN"/>
        </w:rPr>
        <w:t>六、</w:t>
      </w:r>
      <w:r>
        <w:rPr>
          <w:rFonts w:hint="default" w:ascii="Times New Roman" w:hAnsi="Times New Roman" w:eastAsia="黑体" w:cs="Times New Roman"/>
          <w:b w:val="0"/>
          <w:bCs w:val="0"/>
          <w:color w:val="auto"/>
        </w:rPr>
        <w:t>其他需要报告的事项</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本年度政府信息公开申请未达到《政府信息公开信息处理费管理办法》（国办函〔2020〕109号）所规定的信息处理费收费标准，故未收取信息处理费。</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color w:val="auto"/>
          <w:sz w:val="32"/>
          <w:szCs w:val="32"/>
          <w:lang w:val="en-US" w:eastAsia="zh-CN"/>
        </w:rPr>
      </w:pPr>
      <w:r>
        <w:rPr>
          <w:rFonts w:hint="eastAsia" w:ascii="Times New Roman" w:hAnsi="Times New Roman" w:eastAsia="仿宋_GB2312" w:cs="Times New Roman"/>
          <w:color w:val="auto"/>
          <w:sz w:val="32"/>
          <w:szCs w:val="32"/>
          <w:lang w:eastAsia="zh-CN"/>
        </w:rPr>
        <w:t>本年度区人社局作为主办单位承办区级人大建议4件，区级政协提案1件，涉及乡村人才振兴、基层专业技术人员职称评聘政策、农民工及大中专毕业生就业创业，答复率、满意率均达</w:t>
      </w:r>
      <w:r>
        <w:rPr>
          <w:rFonts w:hint="eastAsia" w:ascii="Times New Roman" w:hAnsi="Times New Roman" w:eastAsia="仿宋_GB2312" w:cs="Times New Roman"/>
          <w:color w:val="auto"/>
          <w:sz w:val="32"/>
          <w:szCs w:val="32"/>
          <w:lang w:val="en-US" w:eastAsia="zh-CN"/>
        </w:rPr>
        <w:t>100%，</w:t>
      </w:r>
      <w:r>
        <w:rPr>
          <w:rFonts w:hint="eastAsia" w:ascii="Times New Roman" w:hAnsi="Times New Roman" w:eastAsia="仿宋_GB2312" w:cs="Times New Roman"/>
          <w:color w:val="auto"/>
          <w:sz w:val="32"/>
          <w:szCs w:val="32"/>
          <w:lang w:eastAsia="zh-CN"/>
        </w:rPr>
        <w:t>未承办市级人大建议、政协提案。</w:t>
      </w:r>
      <w:bookmarkStart w:id="0" w:name="_GoBack"/>
      <w:bookmarkEnd w:id="0"/>
    </w:p>
    <w:sectPr>
      <w:footerReference r:id="rId3" w:type="default"/>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1</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1</w:t>
                    </w:r>
                    <w:r>
                      <w:rPr>
                        <w:rFonts w:hint="eastAsia" w:eastAsia="宋体"/>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C34"/>
    <w:rsid w:val="0003350B"/>
    <w:rsid w:val="000500B1"/>
    <w:rsid w:val="0006512C"/>
    <w:rsid w:val="000A57BF"/>
    <w:rsid w:val="000B4F9F"/>
    <w:rsid w:val="000C1FDA"/>
    <w:rsid w:val="00121655"/>
    <w:rsid w:val="00123E53"/>
    <w:rsid w:val="001679FF"/>
    <w:rsid w:val="00180B4F"/>
    <w:rsid w:val="00196721"/>
    <w:rsid w:val="001F026B"/>
    <w:rsid w:val="00203F15"/>
    <w:rsid w:val="00211F6A"/>
    <w:rsid w:val="00243BAF"/>
    <w:rsid w:val="00286BF3"/>
    <w:rsid w:val="002B58BB"/>
    <w:rsid w:val="00315DDF"/>
    <w:rsid w:val="00333740"/>
    <w:rsid w:val="00372E47"/>
    <w:rsid w:val="00384B12"/>
    <w:rsid w:val="00392DAD"/>
    <w:rsid w:val="003C1943"/>
    <w:rsid w:val="004162E7"/>
    <w:rsid w:val="00463EF5"/>
    <w:rsid w:val="004D3C2B"/>
    <w:rsid w:val="004D6D24"/>
    <w:rsid w:val="00502C34"/>
    <w:rsid w:val="00515416"/>
    <w:rsid w:val="00531FBB"/>
    <w:rsid w:val="00552F1D"/>
    <w:rsid w:val="005548EB"/>
    <w:rsid w:val="00612182"/>
    <w:rsid w:val="00683E94"/>
    <w:rsid w:val="006B5301"/>
    <w:rsid w:val="006E2A67"/>
    <w:rsid w:val="00760120"/>
    <w:rsid w:val="007E43CD"/>
    <w:rsid w:val="008244CB"/>
    <w:rsid w:val="00846109"/>
    <w:rsid w:val="00851E51"/>
    <w:rsid w:val="008C68B1"/>
    <w:rsid w:val="00923DE3"/>
    <w:rsid w:val="00990BC0"/>
    <w:rsid w:val="009D1EAC"/>
    <w:rsid w:val="00A9562B"/>
    <w:rsid w:val="00AC0838"/>
    <w:rsid w:val="00AC0B55"/>
    <w:rsid w:val="00B0360E"/>
    <w:rsid w:val="00B06CEF"/>
    <w:rsid w:val="00B82BD5"/>
    <w:rsid w:val="00B846A3"/>
    <w:rsid w:val="00BA1959"/>
    <w:rsid w:val="00BB1402"/>
    <w:rsid w:val="00BD1F13"/>
    <w:rsid w:val="00BD2DFA"/>
    <w:rsid w:val="00BF2FF7"/>
    <w:rsid w:val="00C106D4"/>
    <w:rsid w:val="00C24C5F"/>
    <w:rsid w:val="00C74995"/>
    <w:rsid w:val="00CA2A1F"/>
    <w:rsid w:val="00CE332F"/>
    <w:rsid w:val="00D206E1"/>
    <w:rsid w:val="00DD7168"/>
    <w:rsid w:val="00DF3523"/>
    <w:rsid w:val="00DF7D80"/>
    <w:rsid w:val="00ED6874"/>
    <w:rsid w:val="00ED698F"/>
    <w:rsid w:val="00EE7943"/>
    <w:rsid w:val="00F01622"/>
    <w:rsid w:val="00F03027"/>
    <w:rsid w:val="00F42818"/>
    <w:rsid w:val="00F57A9C"/>
    <w:rsid w:val="00F7173D"/>
    <w:rsid w:val="00F90155"/>
    <w:rsid w:val="00FC01CB"/>
    <w:rsid w:val="00FF3FF5"/>
    <w:rsid w:val="00FF65C3"/>
    <w:rsid w:val="05DF5EEE"/>
    <w:rsid w:val="061916BE"/>
    <w:rsid w:val="06436049"/>
    <w:rsid w:val="0768220B"/>
    <w:rsid w:val="089A4646"/>
    <w:rsid w:val="0AEC7268"/>
    <w:rsid w:val="0C893193"/>
    <w:rsid w:val="0CDE6ACB"/>
    <w:rsid w:val="11335637"/>
    <w:rsid w:val="11557616"/>
    <w:rsid w:val="1FEA15B7"/>
    <w:rsid w:val="20BE7F1B"/>
    <w:rsid w:val="218A6EAC"/>
    <w:rsid w:val="22AA14D2"/>
    <w:rsid w:val="24376272"/>
    <w:rsid w:val="2B30453E"/>
    <w:rsid w:val="32F6606D"/>
    <w:rsid w:val="34445F26"/>
    <w:rsid w:val="36936F9B"/>
    <w:rsid w:val="3BBD3807"/>
    <w:rsid w:val="3C787E8C"/>
    <w:rsid w:val="3ED03C16"/>
    <w:rsid w:val="40A90C1E"/>
    <w:rsid w:val="416335E4"/>
    <w:rsid w:val="43911BC6"/>
    <w:rsid w:val="44682E92"/>
    <w:rsid w:val="45B222C8"/>
    <w:rsid w:val="46B90191"/>
    <w:rsid w:val="48B12D0A"/>
    <w:rsid w:val="49C86E89"/>
    <w:rsid w:val="4A227A1C"/>
    <w:rsid w:val="4A4C4A99"/>
    <w:rsid w:val="537A3E58"/>
    <w:rsid w:val="54176CC7"/>
    <w:rsid w:val="566D62CB"/>
    <w:rsid w:val="5DBF5462"/>
    <w:rsid w:val="601C5E1C"/>
    <w:rsid w:val="641F4B74"/>
    <w:rsid w:val="6652640D"/>
    <w:rsid w:val="68BC0BE4"/>
    <w:rsid w:val="699F351D"/>
    <w:rsid w:val="715E4F2E"/>
    <w:rsid w:val="72060CC8"/>
    <w:rsid w:val="74A90487"/>
    <w:rsid w:val="76F81981"/>
    <w:rsid w:val="78D944AC"/>
    <w:rsid w:val="7AEBD7F9"/>
    <w:rsid w:val="7E2671C5"/>
    <w:rsid w:val="7EC16C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rPr>
  </w:style>
  <w:style w:type="character" w:styleId="9">
    <w:name w:val="FollowedHyperlink"/>
    <w:basedOn w:val="7"/>
    <w:unhideWhenUsed/>
    <w:qFormat/>
    <w:uiPriority w:val="99"/>
    <w:rPr>
      <w:color w:val="337AB7"/>
      <w:u w:val="single"/>
    </w:rPr>
  </w:style>
  <w:style w:type="character" w:styleId="10">
    <w:name w:val="HTML Definition"/>
    <w:basedOn w:val="7"/>
    <w:unhideWhenUsed/>
    <w:qFormat/>
    <w:uiPriority w:val="99"/>
    <w:rPr>
      <w:i/>
    </w:rPr>
  </w:style>
  <w:style w:type="character" w:styleId="11">
    <w:name w:val="Hyperlink"/>
    <w:basedOn w:val="7"/>
    <w:unhideWhenUsed/>
    <w:qFormat/>
    <w:uiPriority w:val="99"/>
    <w:rPr>
      <w:color w:val="337AB7"/>
      <w:u w:val="single"/>
    </w:rPr>
  </w:style>
  <w:style w:type="character" w:styleId="12">
    <w:name w:val="HTML Code"/>
    <w:basedOn w:val="7"/>
    <w:unhideWhenUsed/>
    <w:qFormat/>
    <w:uiPriority w:val="99"/>
    <w:rPr>
      <w:rFonts w:ascii="Menlo" w:hAnsi="Menlo" w:eastAsia="Menlo" w:cs="Menlo"/>
      <w:color w:val="C7254E"/>
      <w:sz w:val="21"/>
      <w:szCs w:val="21"/>
      <w:shd w:val="clear" w:fill="F9F2F4"/>
    </w:rPr>
  </w:style>
  <w:style w:type="character" w:styleId="13">
    <w:name w:val="HTML Keyboard"/>
    <w:basedOn w:val="7"/>
    <w:unhideWhenUsed/>
    <w:qFormat/>
    <w:uiPriority w:val="99"/>
    <w:rPr>
      <w:rFonts w:hint="default" w:ascii="Menlo" w:hAnsi="Menlo" w:eastAsia="Menlo" w:cs="Menlo"/>
      <w:color w:val="FFFFFF"/>
      <w:sz w:val="21"/>
      <w:szCs w:val="21"/>
      <w:shd w:val="clear" w:fill="333333"/>
    </w:rPr>
  </w:style>
  <w:style w:type="character" w:styleId="14">
    <w:name w:val="HTML Sample"/>
    <w:basedOn w:val="7"/>
    <w:unhideWhenUsed/>
    <w:qFormat/>
    <w:uiPriority w:val="99"/>
    <w:rPr>
      <w:rFonts w:hint="default" w:ascii="Menlo" w:hAnsi="Menlo" w:eastAsia="Menlo" w:cs="Menlo"/>
      <w:sz w:val="21"/>
      <w:szCs w:val="21"/>
    </w:rPr>
  </w:style>
  <w:style w:type="character" w:customStyle="1" w:styleId="15">
    <w:name w:val="页眉 字符"/>
    <w:basedOn w:val="7"/>
    <w:link w:val="5"/>
    <w:qFormat/>
    <w:uiPriority w:val="99"/>
    <w:rPr>
      <w:sz w:val="18"/>
      <w:szCs w:val="18"/>
    </w:rPr>
  </w:style>
  <w:style w:type="character" w:customStyle="1" w:styleId="16">
    <w:name w:val="页脚 字符"/>
    <w:basedOn w:val="7"/>
    <w:link w:val="4"/>
    <w:qFormat/>
    <w:uiPriority w:val="99"/>
    <w:rPr>
      <w:sz w:val="18"/>
      <w:szCs w:val="18"/>
    </w:rPr>
  </w:style>
  <w:style w:type="character" w:customStyle="1" w:styleId="17">
    <w:name w:val="标题 1 字符"/>
    <w:basedOn w:val="7"/>
    <w:link w:val="2"/>
    <w:qFormat/>
    <w:uiPriority w:val="9"/>
    <w:rPr>
      <w:b/>
      <w:bCs/>
      <w:kern w:val="44"/>
      <w:sz w:val="44"/>
      <w:szCs w:val="44"/>
    </w:rPr>
  </w:style>
  <w:style w:type="character" w:customStyle="1" w:styleId="18">
    <w:name w:val="标题 2 字符"/>
    <w:basedOn w:val="7"/>
    <w:link w:val="3"/>
    <w:qFormat/>
    <w:uiPriority w:val="9"/>
    <w:rPr>
      <w:rFonts w:asciiTheme="majorHAnsi" w:hAnsiTheme="majorHAnsi" w:eastAsiaTheme="majorEastAsia" w:cstheme="majorBidi"/>
      <w:b/>
      <w:bCs/>
      <w:sz w:val="32"/>
      <w:szCs w:val="32"/>
    </w:rPr>
  </w:style>
  <w:style w:type="paragraph" w:customStyle="1"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2975</Words>
  <Characters>3190</Characters>
  <Lines>75</Lines>
  <Paragraphs>21</Paragraphs>
  <TotalTime>207</TotalTime>
  <ScaleCrop>false</ScaleCrop>
  <LinksUpToDate>false</LinksUpToDate>
  <CharactersWithSpaces>3191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2021-09-03T15:57:00Z</dcterms:created>
  <dc:creator>qiyuanhua0168@163.com</dc:creator>
  <cp:lastModifiedBy>Administrator</cp:lastModifiedBy>
  <cp:lastPrinted>2021-12-06T09:42:00Z</cp:lastPrinted>
  <dcterms:modified xsi:type="dcterms:W3CDTF">2022-01-27T03:02:26Z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0FC3544BB3EC4AE686C8AAE5E7B0EE68</vt:lpwstr>
  </property>
</Properties>
</file>