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ind w:left="0" w:leftChars="0" w:right="0" w:rightChars="0" w:firstLine="0" w:firstLineChars="0"/>
        <w:jc w:val="center"/>
        <w:rPr>
          <w:rFonts w:hint="eastAsia" w:ascii="方正小标宋简体" w:hAnsi="方正小标宋简体" w:eastAsia="方正小标宋简体"/>
          <w:bCs/>
          <w:color w:val="auto"/>
          <w:sz w:val="44"/>
          <w:szCs w:val="32"/>
          <w:lang w:val="en-US" w:eastAsia="zh-CN"/>
        </w:rPr>
      </w:pPr>
    </w:p>
    <w:p>
      <w:pPr>
        <w:spacing w:line="600" w:lineRule="exact"/>
        <w:ind w:left="0" w:leftChars="0" w:right="0" w:rightChars="0" w:firstLine="0" w:firstLineChars="0"/>
        <w:jc w:val="center"/>
        <w:rPr>
          <w:rFonts w:hint="eastAsia" w:ascii="方正小标宋简体" w:hAnsi="方正小标宋简体" w:eastAsia="方正小标宋简体"/>
          <w:bCs/>
          <w:color w:val="auto"/>
          <w:sz w:val="44"/>
          <w:szCs w:val="32"/>
        </w:rPr>
      </w:pPr>
      <w:r>
        <w:rPr>
          <w:rFonts w:hint="eastAsia" w:ascii="方正小标宋简体" w:hAnsi="方正小标宋简体" w:eastAsia="方正小标宋简体"/>
          <w:bCs/>
          <w:color w:val="auto"/>
          <w:sz w:val="44"/>
          <w:szCs w:val="32"/>
          <w:lang w:val="en-US" w:eastAsia="zh-CN"/>
        </w:rPr>
        <w:t>枣庄市</w:t>
      </w:r>
      <w:r>
        <w:rPr>
          <w:rFonts w:hint="eastAsia" w:ascii="方正小标宋简体" w:hAnsi="方正小标宋简体" w:eastAsia="方正小标宋简体"/>
          <w:bCs/>
          <w:color w:val="auto"/>
          <w:sz w:val="44"/>
          <w:szCs w:val="32"/>
        </w:rPr>
        <w:t>薛城区科学技术局</w:t>
      </w:r>
    </w:p>
    <w:p>
      <w:pPr>
        <w:spacing w:line="600" w:lineRule="exact"/>
        <w:ind w:left="0" w:leftChars="0" w:right="0" w:rightChars="0" w:firstLine="0" w:firstLineChars="0"/>
        <w:jc w:val="center"/>
        <w:rPr>
          <w:rFonts w:hint="eastAsia" w:ascii="方正小标宋简体" w:hAnsi="方正小标宋简体" w:eastAsia="方正小标宋简体"/>
          <w:bCs/>
          <w:color w:val="auto"/>
          <w:sz w:val="44"/>
          <w:szCs w:val="32"/>
        </w:rPr>
      </w:pPr>
      <w:r>
        <w:rPr>
          <w:rFonts w:hint="eastAsia" w:ascii="方正小标宋简体" w:hAnsi="方正小标宋简体" w:eastAsia="方正小标宋简体"/>
          <w:bCs/>
          <w:color w:val="auto"/>
          <w:sz w:val="44"/>
          <w:szCs w:val="32"/>
        </w:rPr>
        <w:t>2021年政府信息公开工作年度报告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根据《中华人民共和国政府信息公开条例》要求，特向社会公布20</w:t>
      </w:r>
      <w:r>
        <w:rPr>
          <w:rFonts w:hint="default" w:ascii="Times New Roman" w:hAnsi="Times New Roman" w:eastAsia="仿宋_GB2312" w:cs="Times New Roman"/>
          <w:color w:val="auto"/>
          <w:sz w:val="32"/>
          <w:szCs w:val="32"/>
          <w:shd w:val="clear" w:color="auto" w:fill="FFFFFF"/>
          <w:lang w:val="en-US" w:eastAsia="zh-CN"/>
        </w:rPr>
        <w:t>21</w:t>
      </w:r>
      <w:r>
        <w:rPr>
          <w:rFonts w:hint="default" w:ascii="Times New Roman" w:hAnsi="Times New Roman" w:eastAsia="仿宋_GB2312" w:cs="Times New Roman"/>
          <w:color w:val="auto"/>
          <w:sz w:val="32"/>
          <w:szCs w:val="32"/>
          <w:shd w:val="clear" w:color="auto" w:fill="FFFFFF"/>
        </w:rPr>
        <w:t>年度</w:t>
      </w:r>
      <w:r>
        <w:rPr>
          <w:rFonts w:hint="default" w:ascii="Times New Roman" w:hAnsi="Times New Roman" w:eastAsia="仿宋_GB2312" w:cs="Times New Roman"/>
          <w:color w:val="auto"/>
          <w:sz w:val="32"/>
          <w:szCs w:val="32"/>
          <w:shd w:val="clear" w:color="auto" w:fill="FFFFFF"/>
          <w:lang w:val="en-US" w:eastAsia="zh-CN"/>
        </w:rPr>
        <w:t>薛城区科技</w:t>
      </w:r>
      <w:r>
        <w:rPr>
          <w:rFonts w:hint="default" w:ascii="Times New Roman" w:hAnsi="Times New Roman" w:eastAsia="仿宋_GB2312" w:cs="Times New Roman"/>
          <w:color w:val="auto"/>
          <w:sz w:val="32"/>
          <w:szCs w:val="32"/>
          <w:shd w:val="clear" w:color="auto" w:fill="FFFFFF"/>
        </w:rPr>
        <w:t>局政府信息公开工作年度报告。本报告中所列数据的统计期限为20</w:t>
      </w:r>
      <w:r>
        <w:rPr>
          <w:rFonts w:hint="default" w:ascii="Times New Roman" w:hAnsi="Times New Roman" w:eastAsia="仿宋_GB2312" w:cs="Times New Roman"/>
          <w:color w:val="auto"/>
          <w:sz w:val="32"/>
          <w:szCs w:val="32"/>
          <w:shd w:val="clear" w:color="auto" w:fill="FFFFFF"/>
          <w:lang w:val="en-US" w:eastAsia="zh-CN"/>
        </w:rPr>
        <w:t>21</w:t>
      </w:r>
      <w:r>
        <w:rPr>
          <w:rFonts w:hint="default" w:ascii="Times New Roman" w:hAnsi="Times New Roman" w:eastAsia="仿宋_GB2312" w:cs="Times New Roman"/>
          <w:color w:val="auto"/>
          <w:sz w:val="32"/>
          <w:szCs w:val="32"/>
          <w:shd w:val="clear" w:color="auto" w:fill="FFFFFF"/>
        </w:rPr>
        <w:t>年1月1日至20</w:t>
      </w:r>
      <w:r>
        <w:rPr>
          <w:rFonts w:hint="default" w:ascii="Times New Roman" w:hAnsi="Times New Roman" w:eastAsia="仿宋_GB2312" w:cs="Times New Roman"/>
          <w:color w:val="auto"/>
          <w:sz w:val="32"/>
          <w:szCs w:val="32"/>
          <w:shd w:val="clear" w:color="auto" w:fill="FFFFFF"/>
          <w:lang w:val="en-US" w:eastAsia="zh-CN"/>
        </w:rPr>
        <w:t>21</w:t>
      </w:r>
      <w:r>
        <w:rPr>
          <w:rFonts w:hint="default" w:ascii="Times New Roman" w:hAnsi="Times New Roman" w:eastAsia="仿宋_GB2312" w:cs="Times New Roman"/>
          <w:color w:val="auto"/>
          <w:sz w:val="32"/>
          <w:szCs w:val="32"/>
          <w:shd w:val="clear" w:color="auto" w:fill="FFFFFF"/>
        </w:rPr>
        <w:t>年12月31日。</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shd w:val="clear" w:color="auto" w:fill="FFFFFF"/>
        </w:rPr>
      </w:pPr>
      <w:r>
        <w:rPr>
          <w:rFonts w:hint="default" w:ascii="Times New Roman" w:hAnsi="Times New Roman" w:eastAsia="黑体" w:cs="Times New Roman"/>
          <w:color w:val="auto"/>
          <w:sz w:val="32"/>
          <w:szCs w:val="32"/>
          <w:shd w:val="clear" w:color="auto" w:fill="FFFFFF"/>
        </w:rPr>
        <w:t>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kern w:val="2"/>
          <w:sz w:val="32"/>
          <w:szCs w:val="32"/>
          <w:shd w:val="clear" w:color="auto" w:fill="FFFFFF"/>
          <w:lang w:val="en-US" w:eastAsia="zh-CN" w:bidi="ar-SA"/>
        </w:rPr>
        <w:t>2021年，薛城区科学技术局政府信息公开工作在区委、区政府的正确领导下，认真贯彻落实《中华人民共和国政府信息公开条例》，</w:t>
      </w:r>
      <w:r>
        <w:rPr>
          <w:rFonts w:hint="eastAsia" w:ascii="仿宋_GB2312" w:hAnsi="仿宋_GB2312" w:eastAsia="仿宋_GB2312" w:cs="仿宋_GB2312"/>
          <w:i w:val="0"/>
          <w:caps w:val="0"/>
          <w:color w:val="000000"/>
          <w:spacing w:val="0"/>
          <w:sz w:val="32"/>
          <w:szCs w:val="32"/>
          <w:shd w:val="clear" w:fill="FFFFFF"/>
          <w:lang w:val="en-US" w:eastAsia="zh-CN"/>
        </w:rPr>
        <w:t>及中央、省、市、区政府有关推进政务公开加强政务服务的一系列文件精神，严格落实政务公开制度。</w:t>
      </w:r>
      <w:r>
        <w:rPr>
          <w:rFonts w:hint="eastAsia" w:ascii="仿宋_GB2312" w:hAnsi="仿宋_GB2312" w:eastAsia="仿宋_GB2312" w:cs="仿宋_GB2312"/>
          <w:i w:val="0"/>
          <w:caps w:val="0"/>
          <w:color w:val="000000"/>
          <w:spacing w:val="0"/>
          <w:sz w:val="32"/>
          <w:szCs w:val="32"/>
          <w:shd w:val="clear" w:fill="FFFFFF"/>
        </w:rPr>
        <w:t>积极推进政府信息公开工作，提升规范公开内容质量，确保信息内容准确规范地传达给社会、公众。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1.主动公开。</w:t>
      </w:r>
      <w:r>
        <w:rPr>
          <w:rFonts w:hint="eastAsia" w:ascii="仿宋_GB2312" w:hAnsi="仿宋_GB2312" w:eastAsia="仿宋_GB2312" w:cs="仿宋_GB2312"/>
          <w:color w:val="auto"/>
          <w:sz w:val="32"/>
          <w:szCs w:val="32"/>
        </w:rPr>
        <w:t>根据政务公开目录指南和公开考核要求，</w:t>
      </w:r>
      <w:r>
        <w:rPr>
          <w:rFonts w:hint="eastAsia" w:ascii="仿宋_GB2312" w:hAnsi="仿宋_GB2312" w:eastAsia="仿宋_GB2312" w:cs="仿宋_GB2312"/>
          <w:color w:val="auto"/>
          <w:sz w:val="32"/>
          <w:szCs w:val="32"/>
          <w:lang w:val="en-US" w:eastAsia="zh-CN"/>
        </w:rPr>
        <w:t>区科学技术局</w:t>
      </w:r>
      <w:r>
        <w:rPr>
          <w:rFonts w:hint="eastAsia" w:ascii="仿宋_GB2312" w:hAnsi="仿宋_GB2312" w:eastAsia="仿宋_GB2312" w:cs="仿宋_GB2312"/>
          <w:color w:val="auto"/>
          <w:sz w:val="32"/>
          <w:szCs w:val="32"/>
        </w:rPr>
        <w:t>主动</w:t>
      </w: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rPr>
        <w:t>薛城区人民政府官网上公开政务信息</w:t>
      </w:r>
      <w:r>
        <w:rPr>
          <w:rFonts w:hint="eastAsia" w:ascii="仿宋_GB2312" w:hAnsi="仿宋_GB2312" w:eastAsia="仿宋_GB2312" w:cs="仿宋_GB2312"/>
          <w:color w:val="auto"/>
          <w:sz w:val="32"/>
          <w:szCs w:val="32"/>
          <w:lang w:val="en-US" w:eastAsia="zh-CN"/>
        </w:rPr>
        <w:t>64</w:t>
      </w:r>
      <w:r>
        <w:rPr>
          <w:rFonts w:hint="eastAsia" w:ascii="仿宋_GB2312" w:hAnsi="仿宋_GB2312" w:eastAsia="仿宋_GB2312" w:cs="仿宋_GB2312"/>
          <w:color w:val="auto"/>
          <w:sz w:val="32"/>
          <w:szCs w:val="32"/>
        </w:rPr>
        <w:t>条，发布信息格式规范、内容完整，无敏感信息。公开内容主要包括机构职能、</w:t>
      </w:r>
      <w:r>
        <w:rPr>
          <w:rFonts w:hint="eastAsia" w:ascii="仿宋_GB2312" w:hAnsi="仿宋_GB2312" w:eastAsia="仿宋_GB2312" w:cs="仿宋_GB2312"/>
          <w:color w:val="auto"/>
          <w:sz w:val="32"/>
          <w:szCs w:val="32"/>
          <w:lang w:val="en-US" w:eastAsia="zh-CN"/>
        </w:rPr>
        <w:t>政策</w:t>
      </w:r>
      <w:r>
        <w:rPr>
          <w:rFonts w:hint="eastAsia" w:ascii="仿宋_GB2312" w:hAnsi="仿宋_GB2312" w:eastAsia="仿宋_GB2312" w:cs="仿宋_GB2312"/>
          <w:color w:val="auto"/>
          <w:sz w:val="32"/>
          <w:szCs w:val="32"/>
        </w:rPr>
        <w:t>文件及政策解读等，其中：机构职能信息</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政策文件</w:t>
      </w:r>
      <w:r>
        <w:rPr>
          <w:rFonts w:hint="eastAsia" w:ascii="仿宋_GB2312" w:hAnsi="仿宋_GB2312" w:eastAsia="仿宋_GB2312" w:cs="仿宋_GB2312"/>
          <w:color w:val="auto"/>
          <w:sz w:val="32"/>
          <w:szCs w:val="32"/>
        </w:rPr>
        <w:t>信息</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政策解读6条，规划计划信息1条，重要部署执行信息16条，</w:t>
      </w:r>
      <w:r>
        <w:rPr>
          <w:rFonts w:hint="eastAsia" w:ascii="仿宋_GB2312" w:hAnsi="仿宋_GB2312" w:eastAsia="仿宋_GB2312" w:cs="仿宋_GB2312"/>
          <w:color w:val="auto"/>
          <w:sz w:val="32"/>
          <w:szCs w:val="32"/>
        </w:rPr>
        <w:t>行政权力信息</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建议提案信息3条，重点领域信息6条，组织管理</w:t>
      </w:r>
      <w:r>
        <w:rPr>
          <w:rFonts w:hint="eastAsia" w:ascii="仿宋_GB2312" w:hAnsi="仿宋_GB2312" w:eastAsia="仿宋_GB2312" w:cs="仿宋_GB2312"/>
          <w:color w:val="auto"/>
          <w:sz w:val="32"/>
          <w:szCs w:val="32"/>
        </w:rPr>
        <w:t>信息4条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政务公开目录信息1条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共收到依申请公开信息</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件。符合政务公开考核指标要求。</w:t>
      </w:r>
    </w:p>
    <w:p>
      <w:pPr>
        <w:ind w:firstLine="420" w:firstLineChars="200"/>
        <w:jc w:val="both"/>
      </w:pPr>
      <w:r>
        <w:drawing>
          <wp:inline distT="0" distB="0" distL="114300" distR="114300">
            <wp:extent cx="4572000" cy="2743200"/>
            <wp:effectExtent l="4445" t="4445" r="14605" b="1460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ind w:firstLine="420" w:firstLineChars="200"/>
        <w:jc w:val="both"/>
      </w:pPr>
    </w:p>
    <w:p>
      <w:pPr>
        <w:ind w:firstLine="420" w:firstLineChars="200"/>
        <w:jc w:val="both"/>
      </w:pPr>
    </w:p>
    <w:p>
      <w:pPr>
        <w:ind w:firstLine="420" w:firstLineChars="200"/>
        <w:jc w:val="both"/>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2.依申请公开。2021年区科学技术局共收到依申请公开信息3件，均按规定时限答复，无涉及政府信息公开的行政复议、行政诉讼案件。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政府信息管理。完善各股室、局属事业单位各司其职、分工协作的信息管理体系，严格执行政府信息公开审查制度，规范信息报送流程，由各股室、各单位负责同志对主动公开的信息内容和依申请公开答复事项进行信息初审，经分管领导审核同意后报局政务公开工作领导小组办公室进行保密审查，切实做到人人有责、层层负责、规范有序、高效透明，确保信息内容准确合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政府信息公开平台建设。区科学技术局无独立门户网站，政务公开信息主要通过区政府门户网站发布。2021年度，区科学技术局严格按照区政府集约化智能门户平台板块及栏目设置公开各项政务信息，确保应有公开栏目不漏项，信息报送保质保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5.监督保障。根据人员变动及时调整局政务公开工作领导小组，强化组织领导，明确责任分工。定期组织政务公开信息员业务培训，强化保密意识，提升业务水平。主动接受区政务公开办及上级部门对我局政务信息公开情况的监督，对照监督检测出的问题及时认真做好整改工作。</w:t>
      </w:r>
    </w:p>
    <w:p>
      <w:pPr>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rPr>
        <w:t>主动公开政府信息情况</w:t>
      </w:r>
    </w:p>
    <w:tbl>
      <w:tblPr>
        <w:tblStyle w:val="7"/>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rPr>
              <w:t>　</w:t>
            </w: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rPr>
              <w:t>　</w:t>
            </w: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rPr>
              <w:t>　</w:t>
            </w: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rPr>
              <w:t>　</w:t>
            </w:r>
            <w:r>
              <w:rPr>
                <w:rFonts w:hint="eastAsia" w:ascii="仿宋_GB2312" w:hAnsi="Calibri" w:eastAsia="仿宋_GB2312" w:cs="Calibri"/>
                <w:color w:val="auto"/>
                <w:kern w:val="0"/>
                <w:szCs w:val="21"/>
                <w:lang w:val="en-US" w:eastAsia="zh-CN"/>
              </w:rPr>
              <w:t>0</w:t>
            </w:r>
          </w:p>
        </w:tc>
      </w:tr>
    </w:tbl>
    <w:p>
      <w:pPr>
        <w:ind w:firstLine="640" w:firstLineChars="200"/>
        <w:jc w:val="both"/>
        <w:rPr>
          <w:rFonts w:ascii="仿宋_GB2312" w:eastAsia="仿宋_GB2312"/>
          <w:color w:val="auto"/>
          <w:sz w:val="32"/>
          <w:szCs w:val="32"/>
        </w:rPr>
      </w:pPr>
      <w:r>
        <w:rPr>
          <w:rFonts w:hint="eastAsia" w:ascii="黑体" w:hAnsi="黑体" w:eastAsia="黑体" w:cs="黑体"/>
          <w:color w:val="auto"/>
          <w:sz w:val="32"/>
          <w:szCs w:val="32"/>
          <w:lang w:val="en-US" w:eastAsia="zh-CN"/>
        </w:rPr>
        <w:t>三、收到和处理政府信息公开申请情况</w:t>
      </w:r>
    </w:p>
    <w:tbl>
      <w:tblPr>
        <w:tblStyle w:val="7"/>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color w:val="auto"/>
                <w:kern w:val="0"/>
                <w:szCs w:val="21"/>
              </w:rPr>
            </w:pPr>
            <w:r>
              <w:rPr>
                <w:rFonts w:hint="eastAsia" w:ascii="楷体_GB2312" w:hAnsi="黑体" w:eastAsia="楷体_GB2312"/>
                <w:color w:val="auto"/>
                <w:kern w:val="0"/>
                <w:szCs w:val="21"/>
              </w:rPr>
              <w:t>（本列数据的勾稽关系为：第一项加第二项之和，</w:t>
            </w:r>
          </w:p>
          <w:p>
            <w:pPr>
              <w:widowControl/>
              <w:jc w:val="center"/>
              <w:rPr>
                <w:rFonts w:ascii="仿宋_GB2312" w:hAnsi="Times New Roman" w:eastAsia="仿宋_GB2312"/>
                <w:color w:val="auto"/>
                <w:szCs w:val="21"/>
              </w:rPr>
            </w:pPr>
            <w:r>
              <w:rPr>
                <w:rFonts w:hint="eastAsia" w:ascii="楷体_GB2312" w:hAnsi="黑体" w:eastAsia="楷体_GB2312"/>
                <w:color w:val="auto"/>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color w:val="auto"/>
                <w:szCs w:val="21"/>
              </w:rPr>
            </w:pPr>
            <w:r>
              <w:rPr>
                <w:rFonts w:hint="eastAsia" w:ascii="黑体" w:hAnsi="黑体" w:eastAsia="黑体"/>
                <w:color w:val="auto"/>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color w:val="auto"/>
                <w:szCs w:val="21"/>
              </w:rPr>
            </w:pPr>
            <w:r>
              <w:rPr>
                <w:rFonts w:hint="eastAsia" w:ascii="黑体" w:hAnsi="黑体" w:eastAsia="黑体"/>
                <w:color w:val="auto"/>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color w:val="auto"/>
                <w:szCs w:val="21"/>
              </w:rPr>
            </w:pPr>
            <w:r>
              <w:rPr>
                <w:rFonts w:hint="eastAsia" w:ascii="黑体" w:hAnsi="黑体" w:eastAsia="黑体"/>
                <w:color w:val="auto"/>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color w:val="auto"/>
                <w:szCs w:val="21"/>
              </w:rPr>
            </w:pPr>
            <w:r>
              <w:rPr>
                <w:rFonts w:hint="eastAsia" w:ascii="黑体" w:hAnsi="黑体" w:eastAsia="黑体"/>
                <w:color w:val="auto"/>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c>
          <w:tcPr>
            <w:tcW w:w="82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color w:val="auto"/>
                <w:szCs w:val="21"/>
              </w:rPr>
            </w:pPr>
            <w:r>
              <w:rPr>
                <w:rFonts w:hint="eastAsia" w:ascii="黑体" w:hAnsi="黑体" w:eastAsia="黑体"/>
                <w:color w:val="auto"/>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color w:val="auto"/>
                <w:szCs w:val="21"/>
              </w:rPr>
            </w:pPr>
            <w:r>
              <w:rPr>
                <w:rFonts w:hint="eastAsia" w:ascii="黑体" w:hAnsi="黑体" w:eastAsia="黑体"/>
                <w:color w:val="auto"/>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color w:val="auto"/>
                <w:szCs w:val="21"/>
              </w:rPr>
            </w:pPr>
            <w:r>
              <w:rPr>
                <w:rFonts w:hint="eastAsia" w:ascii="黑体" w:hAnsi="黑体" w:eastAsia="黑体"/>
                <w:color w:val="auto"/>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color w:val="auto"/>
                <w:szCs w:val="21"/>
              </w:rPr>
            </w:pPr>
            <w:r>
              <w:rPr>
                <w:rFonts w:hint="eastAsia" w:ascii="黑体" w:hAnsi="黑体" w:eastAsia="黑体"/>
                <w:color w:val="auto"/>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color w:val="auto"/>
                <w:szCs w:val="21"/>
              </w:rPr>
            </w:pPr>
            <w:r>
              <w:rPr>
                <w:rFonts w:hint="eastAsia" w:ascii="黑体" w:hAnsi="黑体" w:eastAsia="黑体"/>
                <w:color w:val="auto"/>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一、</w:t>
            </w:r>
            <w:bookmarkStart w:id="0" w:name="_Hlk66973412"/>
            <w:r>
              <w:rPr>
                <w:rFonts w:hint="eastAsia" w:ascii="黑体" w:hAnsi="黑体" w:eastAsia="黑体"/>
                <w:color w:val="auto"/>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3</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color w:val="auto"/>
                <w:szCs w:val="21"/>
              </w:rPr>
            </w:pPr>
            <w:r>
              <w:rPr>
                <w:rFonts w:hint="eastAsia" w:ascii="黑体" w:hAnsi="黑体" w:eastAsia="黑体"/>
                <w:color w:val="auto"/>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（一）予以公开</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4677" w:type="dxa"/>
            <w:gridSpan w:val="2"/>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（二）部分公开（</w:t>
            </w:r>
            <w:bookmarkStart w:id="1" w:name="_Hlk66973981"/>
            <w:r>
              <w:rPr>
                <w:rFonts w:hint="eastAsia" w:ascii="黑体" w:hAnsi="黑体" w:eastAsia="黑体"/>
                <w:color w:val="auto"/>
                <w:kern w:val="0"/>
                <w:szCs w:val="21"/>
              </w:rPr>
              <w:t>区分处理的，只计这一情形，不计其他情形</w:t>
            </w:r>
            <w:bookmarkEnd w:id="1"/>
            <w:r>
              <w:rPr>
                <w:rFonts w:hint="eastAsia" w:ascii="黑体" w:hAnsi="黑体" w:eastAsia="黑体"/>
                <w:color w:val="auto"/>
                <w:kern w:val="0"/>
                <w:szCs w:val="21"/>
              </w:rPr>
              <w:t>）</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w:t>
            </w:r>
            <w:bookmarkStart w:id="2" w:name="_Hlk66974104"/>
            <w:r>
              <w:rPr>
                <w:rFonts w:hint="eastAsia" w:ascii="仿宋_GB2312" w:hAnsi="黑体" w:eastAsia="仿宋_GB2312"/>
                <w:color w:val="auto"/>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4.</w:t>
            </w:r>
            <w:bookmarkStart w:id="3" w:name="_Hlk66974290"/>
            <w:r>
              <w:rPr>
                <w:rFonts w:hint="eastAsia" w:ascii="仿宋_GB2312" w:hAnsi="黑体" w:eastAsia="仿宋_GB2312"/>
                <w:color w:val="auto"/>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6.</w:t>
            </w:r>
            <w:bookmarkStart w:id="4" w:name="_Hlk66974555"/>
            <w:r>
              <w:rPr>
                <w:rFonts w:hint="eastAsia" w:ascii="仿宋_GB2312" w:hAnsi="黑体" w:eastAsia="仿宋_GB2312"/>
                <w:color w:val="auto"/>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8.</w:t>
            </w:r>
            <w:bookmarkStart w:id="5" w:name="_Hlk66975211"/>
            <w:r>
              <w:rPr>
                <w:rFonts w:hint="eastAsia" w:ascii="仿宋_GB2312" w:hAnsi="黑体" w:eastAsia="仿宋_GB2312"/>
                <w:color w:val="auto"/>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1</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w:t>
            </w:r>
            <w:bookmarkStart w:id="6" w:name="_Hlk66975392"/>
            <w:r>
              <w:rPr>
                <w:rFonts w:hint="eastAsia" w:ascii="仿宋_GB2312" w:hAnsi="黑体" w:eastAsia="仿宋_GB2312"/>
                <w:color w:val="auto"/>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3.</w:t>
            </w:r>
            <w:bookmarkStart w:id="7" w:name="_Hlk66975466"/>
            <w:r>
              <w:rPr>
                <w:rFonts w:hint="eastAsia" w:ascii="仿宋_GB2312" w:hAnsi="黑体" w:eastAsia="仿宋_GB2312"/>
                <w:color w:val="auto"/>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w:t>
            </w:r>
            <w:bookmarkStart w:id="8" w:name="_Hlk66975537"/>
            <w:r>
              <w:rPr>
                <w:rFonts w:hint="eastAsia" w:ascii="仿宋_GB2312" w:hAnsi="黑体" w:eastAsia="仿宋_GB2312"/>
                <w:color w:val="auto"/>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zCs w:val="21"/>
              </w:rPr>
            </w:pPr>
            <w:r>
              <w:rPr>
                <w:rFonts w:hint="eastAsia" w:ascii="仿宋_GB2312" w:hAnsi="黑体" w:eastAsia="仿宋_GB2312"/>
                <w:color w:val="auto"/>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zCs w:val="21"/>
              </w:rPr>
            </w:pPr>
            <w:r>
              <w:rPr>
                <w:rFonts w:hint="eastAsia" w:ascii="仿宋_GB2312" w:hAnsi="黑体" w:eastAsia="仿宋_GB2312"/>
                <w:color w:val="auto"/>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color w:val="auto"/>
                <w:kern w:val="0"/>
                <w:szCs w:val="21"/>
              </w:rPr>
            </w:pPr>
            <w:r>
              <w:rPr>
                <w:rFonts w:hint="eastAsia" w:ascii="仿宋_GB2312" w:hAnsi="黑体" w:eastAsia="仿宋_GB2312"/>
                <w:color w:val="auto"/>
                <w:kern w:val="0"/>
                <w:szCs w:val="21"/>
              </w:rPr>
              <w:t>5.要求行政机关确认或重新</w:t>
            </w:r>
          </w:p>
          <w:p>
            <w:pPr>
              <w:widowControl/>
              <w:spacing w:line="300" w:lineRule="exact"/>
              <w:ind w:firstLine="210" w:firstLineChars="100"/>
              <w:rPr>
                <w:rFonts w:ascii="仿宋_GB2312" w:hAnsi="黑体" w:eastAsia="仿宋_GB2312"/>
                <w:color w:val="auto"/>
                <w:szCs w:val="21"/>
              </w:rPr>
            </w:pPr>
            <w:r>
              <w:rPr>
                <w:rFonts w:hint="eastAsia" w:ascii="仿宋_GB2312" w:hAnsi="黑体" w:eastAsia="仿宋_GB2312"/>
                <w:color w:val="auto"/>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（六）其他处理</w:t>
            </w:r>
          </w:p>
        </w:tc>
        <w:tc>
          <w:tcPr>
            <w:tcW w:w="2976" w:type="dxa"/>
            <w:shd w:val="clear" w:color="auto" w:fill="auto"/>
            <w:vAlign w:val="center"/>
          </w:tcPr>
          <w:p>
            <w:pPr>
              <w:widowControl/>
              <w:spacing w:line="300" w:lineRule="exact"/>
              <w:rPr>
                <w:rFonts w:ascii="仿宋_GB2312" w:hAnsi="楷体" w:eastAsia="仿宋_GB2312"/>
                <w:color w:val="auto"/>
              </w:rPr>
            </w:pPr>
            <w:r>
              <w:rPr>
                <w:rFonts w:hint="eastAsia" w:ascii="仿宋_GB2312" w:hAnsi="楷体" w:eastAsia="仿宋_GB2312"/>
                <w:color w:val="auto"/>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p>
        </w:tc>
        <w:tc>
          <w:tcPr>
            <w:tcW w:w="2976" w:type="dxa"/>
            <w:shd w:val="clear" w:color="auto" w:fill="auto"/>
            <w:vAlign w:val="center"/>
          </w:tcPr>
          <w:p>
            <w:pPr>
              <w:widowControl/>
              <w:spacing w:line="300" w:lineRule="exact"/>
              <w:rPr>
                <w:rFonts w:ascii="仿宋_GB2312" w:hAnsi="黑体" w:eastAsia="仿宋_GB2312"/>
                <w:color w:val="auto"/>
                <w:kern w:val="0"/>
                <w:szCs w:val="21"/>
              </w:rPr>
            </w:pPr>
            <w:r>
              <w:rPr>
                <w:rFonts w:hint="eastAsia" w:ascii="仿宋_GB2312" w:hAnsi="楷体" w:eastAsia="仿宋_GB2312"/>
                <w:color w:val="auto"/>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p>
        </w:tc>
        <w:tc>
          <w:tcPr>
            <w:tcW w:w="2976" w:type="dxa"/>
            <w:shd w:val="clear" w:color="auto" w:fill="auto"/>
            <w:vAlign w:val="center"/>
          </w:tcPr>
          <w:p>
            <w:pPr>
              <w:widowControl/>
              <w:spacing w:line="300" w:lineRule="exact"/>
              <w:rPr>
                <w:rFonts w:ascii="仿宋_GB2312" w:hAnsi="黑体" w:eastAsia="仿宋_GB2312"/>
                <w:color w:val="auto"/>
                <w:kern w:val="0"/>
                <w:szCs w:val="21"/>
              </w:rPr>
            </w:pPr>
            <w:r>
              <w:rPr>
                <w:rFonts w:hint="eastAsia" w:ascii="仿宋_GB2312" w:hAnsi="楷体" w:eastAsia="仿宋_GB2312"/>
                <w:color w:val="auto"/>
              </w:rPr>
              <w:t>3.其他</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2</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bl>
    <w:p>
      <w:pPr>
        <w:ind w:firstLine="560" w:firstLineChars="200"/>
        <w:jc w:val="both"/>
        <w:rPr>
          <w:rFonts w:ascii="仿宋_GB2312" w:eastAsia="仿宋_GB2312"/>
          <w:color w:val="auto"/>
          <w:spacing w:val="-20"/>
          <w:sz w:val="32"/>
          <w:szCs w:val="32"/>
        </w:rPr>
      </w:pPr>
      <w:r>
        <w:rPr>
          <w:rFonts w:hint="eastAsia" w:ascii="黑体" w:hAnsi="黑体" w:eastAsia="黑体" w:cs="黑体"/>
          <w:color w:val="auto"/>
          <w:spacing w:val="-20"/>
          <w:sz w:val="32"/>
          <w:szCs w:val="32"/>
          <w:lang w:val="en-US" w:eastAsia="zh-CN"/>
        </w:rPr>
        <w:t>四、因政府信息公开工作被申请行政复议、提起行政诉讼情况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color w:val="auto"/>
                <w:kern w:val="0"/>
                <w:sz w:val="20"/>
                <w:szCs w:val="20"/>
              </w:rPr>
            </w:pPr>
            <w:r>
              <w:rPr>
                <w:rFonts w:ascii="黑体" w:hAnsi="黑体" w:eastAsia="黑体"/>
                <w:color w:val="auto"/>
                <w:kern w:val="0"/>
                <w:sz w:val="20"/>
                <w:szCs w:val="20"/>
              </w:rPr>
              <w:t>结果</w:t>
            </w:r>
          </w:p>
          <w:p>
            <w:pPr>
              <w:widowControl/>
              <w:ind w:left="-149" w:leftChars="-71" w:right="-170" w:rightChars="-81"/>
              <w:jc w:val="center"/>
              <w:rPr>
                <w:rFonts w:ascii="黑体" w:hAnsi="黑体" w:eastAsia="黑体"/>
                <w:color w:val="auto"/>
              </w:rPr>
            </w:pPr>
            <w:r>
              <w:rPr>
                <w:rFonts w:ascii="黑体" w:hAnsi="黑体" w:eastAsia="黑体"/>
                <w:color w:val="auto"/>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color w:val="auto"/>
              </w:rPr>
            </w:pPr>
            <w:r>
              <w:rPr>
                <w:rFonts w:ascii="黑体" w:hAnsi="黑体" w:eastAsia="黑体"/>
                <w:color w:val="auto"/>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color w:val="auto"/>
              </w:rPr>
            </w:pPr>
            <w:r>
              <w:rPr>
                <w:rFonts w:ascii="黑体" w:hAnsi="黑体" w:eastAsia="黑体"/>
                <w:color w:val="auto"/>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color w:val="auto"/>
                <w:kern w:val="0"/>
                <w:sz w:val="20"/>
                <w:szCs w:val="20"/>
              </w:rPr>
            </w:pPr>
            <w:r>
              <w:rPr>
                <w:rFonts w:ascii="黑体" w:hAnsi="黑体" w:eastAsia="黑体"/>
                <w:color w:val="auto"/>
                <w:kern w:val="0"/>
                <w:sz w:val="20"/>
                <w:szCs w:val="20"/>
              </w:rPr>
              <w:t>尚未</w:t>
            </w:r>
          </w:p>
          <w:p>
            <w:pPr>
              <w:widowControl/>
              <w:ind w:left="-118" w:leftChars="-56" w:right="-118" w:rightChars="-56"/>
              <w:jc w:val="center"/>
              <w:rPr>
                <w:rFonts w:ascii="黑体" w:hAnsi="黑体" w:eastAsia="黑体"/>
                <w:color w:val="auto"/>
              </w:rPr>
            </w:pPr>
            <w:r>
              <w:rPr>
                <w:rFonts w:ascii="黑体" w:hAnsi="黑体" w:eastAsia="黑体"/>
                <w:color w:val="auto"/>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color w:val="auto"/>
                <w:kern w:val="0"/>
                <w:sz w:val="20"/>
                <w:szCs w:val="20"/>
              </w:rPr>
            </w:pPr>
            <w:r>
              <w:rPr>
                <w:rFonts w:ascii="黑体" w:hAnsi="黑体" w:eastAsia="黑体"/>
                <w:color w:val="auto"/>
                <w:kern w:val="0"/>
                <w:sz w:val="20"/>
                <w:szCs w:val="20"/>
              </w:rPr>
              <w:t>总</w:t>
            </w:r>
          </w:p>
          <w:p>
            <w:pPr>
              <w:widowControl/>
              <w:spacing w:line="320" w:lineRule="exact"/>
              <w:jc w:val="center"/>
              <w:rPr>
                <w:rFonts w:ascii="黑体" w:hAnsi="黑体" w:eastAsia="黑体"/>
                <w:color w:val="auto"/>
              </w:rPr>
            </w:pPr>
            <w:r>
              <w:rPr>
                <w:rFonts w:ascii="黑体" w:hAnsi="黑体" w:eastAsia="黑体"/>
                <w:color w:val="auto"/>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bookmarkStart w:id="9" w:name="_Hlk67039688"/>
            <w:r>
              <w:rPr>
                <w:rFonts w:ascii="黑体" w:hAnsi="黑体" w:eastAsia="黑体"/>
                <w:color w:val="auto"/>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color w:val="auto"/>
              </w:rPr>
            </w:pPr>
            <w:r>
              <w:rPr>
                <w:rFonts w:ascii="黑体" w:hAnsi="黑体" w:eastAsia="黑体"/>
                <w:color w:val="auto"/>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color w:val="auto"/>
              </w:rPr>
            </w:pPr>
            <w:r>
              <w:rPr>
                <w:rFonts w:ascii="黑体" w:hAnsi="黑体" w:eastAsia="黑体"/>
                <w:color w:val="auto"/>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color w:val="auto"/>
                <w:kern w:val="0"/>
                <w:sz w:val="20"/>
                <w:szCs w:val="20"/>
              </w:rPr>
            </w:pPr>
            <w:r>
              <w:rPr>
                <w:rFonts w:ascii="黑体" w:hAnsi="黑体" w:eastAsia="黑体"/>
                <w:color w:val="auto"/>
                <w:kern w:val="0"/>
                <w:sz w:val="20"/>
                <w:szCs w:val="20"/>
              </w:rPr>
              <w:t>其他</w:t>
            </w:r>
          </w:p>
          <w:p>
            <w:pPr>
              <w:widowControl/>
              <w:ind w:left="-126" w:leftChars="-60" w:right="-136" w:rightChars="-65"/>
              <w:jc w:val="center"/>
              <w:rPr>
                <w:rFonts w:ascii="黑体" w:hAnsi="黑体" w:eastAsia="黑体"/>
                <w:color w:val="auto"/>
              </w:rPr>
            </w:pPr>
            <w:r>
              <w:rPr>
                <w:rFonts w:ascii="黑体" w:hAnsi="黑体" w:eastAsia="黑体"/>
                <w:color w:val="auto"/>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color w:val="auto"/>
                <w:kern w:val="0"/>
                <w:sz w:val="20"/>
                <w:szCs w:val="20"/>
              </w:rPr>
            </w:pPr>
            <w:r>
              <w:rPr>
                <w:rFonts w:ascii="黑体" w:hAnsi="黑体" w:eastAsia="黑体"/>
                <w:color w:val="auto"/>
                <w:kern w:val="0"/>
                <w:sz w:val="20"/>
                <w:szCs w:val="20"/>
              </w:rPr>
              <w:t>尚未</w:t>
            </w:r>
          </w:p>
          <w:p>
            <w:pPr>
              <w:widowControl/>
              <w:ind w:left="-164" w:leftChars="-78" w:right="-153" w:rightChars="-73"/>
              <w:jc w:val="center"/>
              <w:rPr>
                <w:rFonts w:ascii="黑体" w:hAnsi="黑体" w:eastAsia="黑体"/>
                <w:color w:val="auto"/>
              </w:rPr>
            </w:pPr>
            <w:r>
              <w:rPr>
                <w:rFonts w:ascii="黑体" w:hAnsi="黑体" w:eastAsia="黑体"/>
                <w:color w:val="auto"/>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color w:val="auto"/>
              </w:rPr>
            </w:pPr>
            <w:r>
              <w:rPr>
                <w:rFonts w:ascii="黑体" w:hAnsi="黑体" w:eastAsia="黑体"/>
                <w:color w:val="auto"/>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color w:val="auto"/>
                <w:kern w:val="0"/>
                <w:sz w:val="20"/>
                <w:szCs w:val="20"/>
              </w:rPr>
            </w:pPr>
            <w:r>
              <w:rPr>
                <w:rFonts w:ascii="黑体" w:hAnsi="黑体" w:eastAsia="黑体"/>
                <w:color w:val="auto"/>
                <w:kern w:val="0"/>
                <w:sz w:val="20"/>
                <w:szCs w:val="20"/>
              </w:rPr>
              <w:t>结果</w:t>
            </w:r>
          </w:p>
          <w:p>
            <w:pPr>
              <w:widowControl/>
              <w:ind w:left="-136" w:leftChars="-65" w:right="-124" w:rightChars="-59"/>
              <w:jc w:val="center"/>
              <w:rPr>
                <w:rFonts w:ascii="黑体" w:hAnsi="黑体" w:eastAsia="黑体"/>
                <w:color w:val="auto"/>
              </w:rPr>
            </w:pPr>
            <w:r>
              <w:rPr>
                <w:rFonts w:ascii="黑体" w:hAnsi="黑体" w:eastAsia="黑体"/>
                <w:color w:val="auto"/>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color w:val="auto"/>
                <w:kern w:val="0"/>
                <w:sz w:val="20"/>
                <w:szCs w:val="20"/>
              </w:rPr>
            </w:pPr>
            <w:r>
              <w:rPr>
                <w:rFonts w:ascii="黑体" w:hAnsi="黑体" w:eastAsia="黑体"/>
                <w:color w:val="auto"/>
                <w:kern w:val="0"/>
                <w:sz w:val="20"/>
                <w:szCs w:val="20"/>
              </w:rPr>
              <w:t>其他</w:t>
            </w:r>
          </w:p>
          <w:p>
            <w:pPr>
              <w:widowControl/>
              <w:ind w:left="-173" w:leftChars="-83" w:right="-134" w:rightChars="-64" w:hanging="1"/>
              <w:jc w:val="center"/>
              <w:rPr>
                <w:rFonts w:ascii="黑体" w:hAnsi="黑体" w:eastAsia="黑体"/>
                <w:color w:val="auto"/>
              </w:rPr>
            </w:pPr>
            <w:r>
              <w:rPr>
                <w:rFonts w:ascii="黑体" w:hAnsi="黑体" w:eastAsia="黑体"/>
                <w:color w:val="auto"/>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color w:val="auto"/>
              </w:rPr>
            </w:pPr>
            <w:r>
              <w:rPr>
                <w:rFonts w:ascii="黑体" w:hAnsi="黑体" w:eastAsia="黑体"/>
                <w:color w:val="auto"/>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r>
    </w:tbl>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五、存在的主要问题及改进情况</w:t>
      </w:r>
    </w:p>
    <w:p>
      <w:p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年，我局政务公开整体水平得到了有效提升，但与上级的要求还有差距，主要是信息</w:t>
      </w:r>
      <w:r>
        <w:rPr>
          <w:rFonts w:hint="eastAsia" w:ascii="Times New Roman" w:hAnsi="Times New Roman" w:eastAsia="仿宋_GB2312" w:cs="Times New Roman"/>
          <w:color w:val="auto"/>
          <w:sz w:val="32"/>
          <w:szCs w:val="32"/>
          <w:lang w:val="en-US" w:eastAsia="zh-CN"/>
        </w:rPr>
        <w:t>公开的积极性</w:t>
      </w:r>
      <w:r>
        <w:rPr>
          <w:rFonts w:hint="default" w:ascii="Times New Roman" w:hAnsi="Times New Roman" w:eastAsia="仿宋_GB2312" w:cs="Times New Roman"/>
          <w:color w:val="auto"/>
          <w:sz w:val="32"/>
          <w:szCs w:val="32"/>
          <w:lang w:val="en-US" w:eastAsia="zh-CN"/>
        </w:rPr>
        <w:t>有所欠缺。针对以上问题，202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年，区科技局将进一步加强信息管理，认真学习贯彻《中华人民共和国政府信息公开条例》，主动、及时、准确公开相关信息，努力为政府门户网站、党政办公网提供及时、准确的内容保障。</w:t>
      </w:r>
    </w:p>
    <w:p>
      <w:pPr>
        <w:ind w:firstLine="640" w:firstLineChars="200"/>
        <w:rPr>
          <w:rFonts w:hint="default"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val="en-US" w:eastAsia="zh-CN"/>
        </w:rPr>
        <w:t>六、其他需要报告的事项</w:t>
      </w:r>
    </w:p>
    <w:p>
      <w:p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2021年薛城区</w:t>
      </w:r>
      <w:r>
        <w:rPr>
          <w:rFonts w:hint="eastAsia" w:ascii="Times New Roman" w:hAnsi="Times New Roman" w:eastAsia="仿宋_GB2312" w:cs="Times New Roman"/>
          <w:color w:val="auto"/>
          <w:sz w:val="32"/>
          <w:szCs w:val="32"/>
          <w:lang w:val="en-US" w:eastAsia="zh-CN"/>
        </w:rPr>
        <w:t>科学技术局</w:t>
      </w:r>
      <w:r>
        <w:rPr>
          <w:rFonts w:hint="default" w:ascii="Times New Roman" w:hAnsi="Times New Roman" w:eastAsia="仿宋_GB2312" w:cs="Times New Roman"/>
          <w:color w:val="auto"/>
          <w:sz w:val="32"/>
          <w:szCs w:val="32"/>
          <w:lang w:val="en-US" w:eastAsia="zh-CN"/>
        </w:rPr>
        <w:t>共承办区</w:t>
      </w:r>
      <w:r>
        <w:rPr>
          <w:rFonts w:hint="eastAsia" w:ascii="Times New Roman" w:hAnsi="Times New Roman" w:eastAsia="仿宋_GB2312" w:cs="Times New Roman"/>
          <w:color w:val="auto"/>
          <w:sz w:val="32"/>
          <w:szCs w:val="32"/>
          <w:lang w:val="en-US" w:eastAsia="zh-CN"/>
        </w:rPr>
        <w:t>政协提案2件</w:t>
      </w:r>
      <w:r>
        <w:rPr>
          <w:rFonts w:hint="default" w:ascii="Times New Roman" w:hAnsi="Times New Roman" w:eastAsia="仿宋_GB2312" w:cs="Times New Roman"/>
          <w:color w:val="auto"/>
          <w:sz w:val="32"/>
          <w:szCs w:val="32"/>
          <w:lang w:val="en-US" w:eastAsia="zh-CN"/>
        </w:rPr>
        <w:t>，其中主办1件</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协办1件。</w:t>
      </w:r>
      <w:r>
        <w:rPr>
          <w:rFonts w:hint="eastAsia" w:ascii="Times New Roman" w:hAnsi="Times New Roman" w:eastAsia="仿宋_GB2312" w:cs="Times New Roman"/>
          <w:color w:val="auto"/>
          <w:sz w:val="32"/>
          <w:szCs w:val="32"/>
          <w:lang w:val="en-US" w:eastAsia="zh-CN"/>
        </w:rPr>
        <w:t>内容</w:t>
      </w:r>
      <w:r>
        <w:rPr>
          <w:rFonts w:hint="default" w:ascii="Times New Roman" w:hAnsi="Times New Roman" w:eastAsia="仿宋_GB2312" w:cs="Times New Roman"/>
          <w:color w:val="auto"/>
          <w:sz w:val="32"/>
          <w:szCs w:val="32"/>
          <w:lang w:val="en-US" w:eastAsia="zh-CN"/>
        </w:rPr>
        <w:t>涉及</w:t>
      </w:r>
      <w:r>
        <w:rPr>
          <w:rFonts w:ascii="仿宋_GB2312" w:hAnsi="宋体" w:eastAsia="仿宋_GB2312" w:cs="仿宋_GB2312"/>
          <w:i w:val="0"/>
          <w:caps w:val="0"/>
          <w:color w:val="000000"/>
          <w:spacing w:val="0"/>
          <w:sz w:val="31"/>
          <w:szCs w:val="31"/>
          <w:shd w:val="clear" w:fill="FFFFFF"/>
        </w:rPr>
        <w:t>农村科普工作</w:t>
      </w:r>
      <w:r>
        <w:rPr>
          <w:rFonts w:hint="eastAsia" w:ascii="仿宋_GB2312" w:hAnsi="宋体" w:eastAsia="仿宋_GB2312" w:cs="仿宋_GB2312"/>
          <w:i w:val="0"/>
          <w:caps w:val="0"/>
          <w:color w:val="000000"/>
          <w:spacing w:val="0"/>
          <w:sz w:val="31"/>
          <w:szCs w:val="31"/>
          <w:shd w:val="clear" w:fill="FFFFFF"/>
          <w:lang w:eastAsia="zh-CN"/>
        </w:rPr>
        <w:t>、</w:t>
      </w:r>
      <w:r>
        <w:rPr>
          <w:rFonts w:hint="default" w:ascii="Times New Roman" w:hAnsi="Times New Roman" w:eastAsia="仿宋_GB2312" w:cs="Times New Roman"/>
          <w:color w:val="auto"/>
          <w:sz w:val="32"/>
          <w:szCs w:val="32"/>
          <w:lang w:val="en-US" w:eastAsia="zh-CN"/>
        </w:rPr>
        <w:t>加快传统产业转型升级提质增效</w:t>
      </w:r>
      <w:r>
        <w:rPr>
          <w:rFonts w:hint="eastAsia" w:ascii="Times New Roman" w:hAnsi="Times New Roman" w:eastAsia="仿宋_GB2312" w:cs="Times New Roman"/>
          <w:color w:val="auto"/>
          <w:sz w:val="32"/>
          <w:szCs w:val="32"/>
          <w:lang w:val="en-US" w:eastAsia="zh-CN"/>
        </w:rPr>
        <w:t>等方面</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所有建议</w:t>
      </w:r>
      <w:r>
        <w:rPr>
          <w:rFonts w:hint="default" w:ascii="Times New Roman" w:hAnsi="Times New Roman" w:eastAsia="仿宋_GB2312" w:cs="Times New Roman"/>
          <w:color w:val="auto"/>
          <w:sz w:val="32"/>
          <w:szCs w:val="32"/>
          <w:lang w:val="en-US" w:eastAsia="zh-CN"/>
        </w:rPr>
        <w:t>已办理、答复完毕。</w:t>
      </w:r>
      <w:r>
        <w:rPr>
          <w:rFonts w:hint="eastAsia" w:ascii="Times New Roman" w:hAnsi="Times New Roman" w:eastAsia="仿宋_GB2312" w:cs="Times New Roman"/>
          <w:color w:val="auto"/>
          <w:sz w:val="32"/>
          <w:szCs w:val="32"/>
          <w:lang w:val="en-US" w:eastAsia="zh-CN"/>
        </w:rPr>
        <w:t>没有收到</w:t>
      </w:r>
      <w:r>
        <w:rPr>
          <w:rFonts w:hint="default" w:ascii="Times New Roman" w:hAnsi="Times New Roman" w:eastAsia="仿宋_GB2312" w:cs="Times New Roman"/>
          <w:color w:val="auto"/>
          <w:sz w:val="32"/>
          <w:szCs w:val="32"/>
          <w:lang w:val="en-US" w:eastAsia="zh-CN"/>
        </w:rPr>
        <w:t>人大代表建议</w:t>
      </w:r>
      <w:r>
        <w:rPr>
          <w:rFonts w:hint="eastAsia" w:ascii="Times New Roman" w:hAnsi="Times New Roman" w:eastAsia="仿宋_GB2312" w:cs="Times New Roman"/>
          <w:color w:val="auto"/>
          <w:sz w:val="32"/>
          <w:szCs w:val="32"/>
          <w:lang w:val="en-US" w:eastAsia="zh-CN"/>
        </w:rPr>
        <w:t>。</w:t>
      </w:r>
    </w:p>
    <w:p>
      <w:pPr>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w:t>
      </w:r>
    </w:p>
    <w:p>
      <w:pPr>
        <w:rPr>
          <w:rFonts w:ascii="仿宋_GB2312" w:eastAsia="仿宋_GB2312"/>
          <w:sz w:val="32"/>
          <w:szCs w:val="32"/>
        </w:rPr>
      </w:pPr>
      <w:bookmarkStart w:id="10" w:name="_GoBack"/>
      <w:bookmarkEnd w:id="10"/>
    </w:p>
    <w:sectPr>
      <w:footerReference r:id="rId3" w:type="default"/>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enlo">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1</w:t>
                    </w:r>
                    <w:r>
                      <w:rPr>
                        <w:rFonts w:hint="eastAsia" w:ascii="宋体" w:hAnsi="宋体" w:eastAsia="宋体" w:cs="宋体"/>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99AED6"/>
    <w:multiLevelType w:val="singleLevel"/>
    <w:tmpl w:val="D299AE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34"/>
    <w:rsid w:val="0003350B"/>
    <w:rsid w:val="000500B1"/>
    <w:rsid w:val="0006512C"/>
    <w:rsid w:val="000A57BF"/>
    <w:rsid w:val="000B4F9F"/>
    <w:rsid w:val="000C1FDA"/>
    <w:rsid w:val="00121655"/>
    <w:rsid w:val="00123E53"/>
    <w:rsid w:val="001679FF"/>
    <w:rsid w:val="00180B4F"/>
    <w:rsid w:val="00196721"/>
    <w:rsid w:val="001F026B"/>
    <w:rsid w:val="00203F15"/>
    <w:rsid w:val="00211F6A"/>
    <w:rsid w:val="00243BAF"/>
    <w:rsid w:val="00286BF3"/>
    <w:rsid w:val="002B58BB"/>
    <w:rsid w:val="00315DDF"/>
    <w:rsid w:val="00333740"/>
    <w:rsid w:val="00372E47"/>
    <w:rsid w:val="00384B12"/>
    <w:rsid w:val="00392DAD"/>
    <w:rsid w:val="003C1943"/>
    <w:rsid w:val="004162E7"/>
    <w:rsid w:val="00463EF5"/>
    <w:rsid w:val="004D3C2B"/>
    <w:rsid w:val="004D6D24"/>
    <w:rsid w:val="00502C34"/>
    <w:rsid w:val="00515416"/>
    <w:rsid w:val="00531FBB"/>
    <w:rsid w:val="00552F1D"/>
    <w:rsid w:val="005548EB"/>
    <w:rsid w:val="00612182"/>
    <w:rsid w:val="00617920"/>
    <w:rsid w:val="00683E94"/>
    <w:rsid w:val="006B5301"/>
    <w:rsid w:val="006E2A67"/>
    <w:rsid w:val="00760120"/>
    <w:rsid w:val="007E43CD"/>
    <w:rsid w:val="008244CB"/>
    <w:rsid w:val="00846109"/>
    <w:rsid w:val="00851E51"/>
    <w:rsid w:val="008C68B1"/>
    <w:rsid w:val="00923DE3"/>
    <w:rsid w:val="00990BC0"/>
    <w:rsid w:val="009D1EAC"/>
    <w:rsid w:val="00A9562B"/>
    <w:rsid w:val="00AC0838"/>
    <w:rsid w:val="00AC0B55"/>
    <w:rsid w:val="00B0360E"/>
    <w:rsid w:val="00B06CEF"/>
    <w:rsid w:val="00B82BD5"/>
    <w:rsid w:val="00B846A3"/>
    <w:rsid w:val="00BA1959"/>
    <w:rsid w:val="00BB1402"/>
    <w:rsid w:val="00BD1F13"/>
    <w:rsid w:val="00BD2DFA"/>
    <w:rsid w:val="00BF2FF7"/>
    <w:rsid w:val="00C106D4"/>
    <w:rsid w:val="00C24C5F"/>
    <w:rsid w:val="00C74995"/>
    <w:rsid w:val="00CA2A1F"/>
    <w:rsid w:val="00CE332F"/>
    <w:rsid w:val="00D206E1"/>
    <w:rsid w:val="00DD7168"/>
    <w:rsid w:val="00DF3523"/>
    <w:rsid w:val="00DF7D80"/>
    <w:rsid w:val="00ED6874"/>
    <w:rsid w:val="00ED698F"/>
    <w:rsid w:val="00EE7943"/>
    <w:rsid w:val="00F01622"/>
    <w:rsid w:val="00F03027"/>
    <w:rsid w:val="00F42818"/>
    <w:rsid w:val="00F57A9C"/>
    <w:rsid w:val="00F7173D"/>
    <w:rsid w:val="00F90155"/>
    <w:rsid w:val="00FC01CB"/>
    <w:rsid w:val="00FF3FF5"/>
    <w:rsid w:val="00FF65C3"/>
    <w:rsid w:val="065356AD"/>
    <w:rsid w:val="086C74C9"/>
    <w:rsid w:val="0C010C50"/>
    <w:rsid w:val="0D1F09C4"/>
    <w:rsid w:val="13342913"/>
    <w:rsid w:val="1775230B"/>
    <w:rsid w:val="17AE5EF0"/>
    <w:rsid w:val="256F3FC5"/>
    <w:rsid w:val="27C41646"/>
    <w:rsid w:val="2BA060F2"/>
    <w:rsid w:val="31C114FD"/>
    <w:rsid w:val="3C787E8C"/>
    <w:rsid w:val="5453357F"/>
    <w:rsid w:val="601C5E1C"/>
    <w:rsid w:val="64AF7285"/>
    <w:rsid w:val="77FA5FB1"/>
    <w:rsid w:val="78AE6F1C"/>
    <w:rsid w:val="7A5E5DF5"/>
    <w:rsid w:val="7AEBD7F9"/>
    <w:rsid w:val="7FAE439E"/>
    <w:rsid w:val="FF3F40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22"/>
    <w:rPr>
      <w:b/>
    </w:rPr>
  </w:style>
  <w:style w:type="character" w:styleId="10">
    <w:name w:val="FollowedHyperlink"/>
    <w:basedOn w:val="8"/>
    <w:unhideWhenUsed/>
    <w:qFormat/>
    <w:uiPriority w:val="99"/>
    <w:rPr>
      <w:color w:val="337AB7"/>
      <w:u w:val="single"/>
    </w:rPr>
  </w:style>
  <w:style w:type="character" w:styleId="11">
    <w:name w:val="HTML Definition"/>
    <w:basedOn w:val="8"/>
    <w:unhideWhenUsed/>
    <w:qFormat/>
    <w:uiPriority w:val="99"/>
    <w:rPr>
      <w:i/>
    </w:rPr>
  </w:style>
  <w:style w:type="character" w:styleId="12">
    <w:name w:val="Hyperlink"/>
    <w:basedOn w:val="8"/>
    <w:unhideWhenUsed/>
    <w:qFormat/>
    <w:uiPriority w:val="99"/>
    <w:rPr>
      <w:color w:val="337AB7"/>
      <w:u w:val="single"/>
    </w:rPr>
  </w:style>
  <w:style w:type="character" w:styleId="13">
    <w:name w:val="HTML Code"/>
    <w:basedOn w:val="8"/>
    <w:unhideWhenUsed/>
    <w:qFormat/>
    <w:uiPriority w:val="99"/>
    <w:rPr>
      <w:rFonts w:ascii="Menlo" w:hAnsi="Menlo" w:eastAsia="Menlo" w:cs="Menlo"/>
      <w:color w:val="C7254E"/>
      <w:sz w:val="21"/>
      <w:szCs w:val="21"/>
      <w:shd w:val="clear" w:fill="F9F2F4"/>
    </w:rPr>
  </w:style>
  <w:style w:type="character" w:styleId="14">
    <w:name w:val="HTML Keyboard"/>
    <w:basedOn w:val="8"/>
    <w:unhideWhenUsed/>
    <w:qFormat/>
    <w:uiPriority w:val="99"/>
    <w:rPr>
      <w:rFonts w:hint="default" w:ascii="Menlo" w:hAnsi="Menlo" w:eastAsia="Menlo" w:cs="Menlo"/>
      <w:color w:val="FFFFFF"/>
      <w:sz w:val="21"/>
      <w:szCs w:val="21"/>
      <w:shd w:val="clear" w:fill="333333"/>
    </w:rPr>
  </w:style>
  <w:style w:type="character" w:styleId="15">
    <w:name w:val="HTML Sample"/>
    <w:basedOn w:val="8"/>
    <w:unhideWhenUsed/>
    <w:qFormat/>
    <w:uiPriority w:val="99"/>
    <w:rPr>
      <w:rFonts w:hint="default" w:ascii="Menlo" w:hAnsi="Menlo" w:eastAsia="Menlo" w:cs="Menlo"/>
      <w:sz w:val="21"/>
      <w:szCs w:val="21"/>
    </w:rPr>
  </w:style>
  <w:style w:type="character" w:customStyle="1" w:styleId="16">
    <w:name w:val="页眉 字符"/>
    <w:basedOn w:val="8"/>
    <w:link w:val="5"/>
    <w:qFormat/>
    <w:uiPriority w:val="99"/>
    <w:rPr>
      <w:sz w:val="18"/>
      <w:szCs w:val="18"/>
    </w:rPr>
  </w:style>
  <w:style w:type="character" w:customStyle="1" w:styleId="17">
    <w:name w:val="页脚 字符"/>
    <w:basedOn w:val="8"/>
    <w:link w:val="4"/>
    <w:qFormat/>
    <w:uiPriority w:val="99"/>
    <w:rPr>
      <w:sz w:val="18"/>
      <w:szCs w:val="18"/>
    </w:rPr>
  </w:style>
  <w:style w:type="character" w:customStyle="1" w:styleId="18">
    <w:name w:val="标题 1 字符"/>
    <w:basedOn w:val="8"/>
    <w:link w:val="2"/>
    <w:qFormat/>
    <w:uiPriority w:val="9"/>
    <w:rPr>
      <w:b/>
      <w:bCs/>
      <w:kern w:val="44"/>
      <w:sz w:val="44"/>
      <w:szCs w:val="44"/>
    </w:rPr>
  </w:style>
  <w:style w:type="character" w:customStyle="1" w:styleId="19">
    <w:name w:val="标题 2 字符"/>
    <w:basedOn w:val="8"/>
    <w:link w:val="3"/>
    <w:qFormat/>
    <w:uiPriority w:val="9"/>
    <w:rPr>
      <w:rFonts w:asciiTheme="majorHAnsi" w:hAnsiTheme="majorHAnsi" w:eastAsiaTheme="majorEastAsia" w:cstheme="majorBidi"/>
      <w:b/>
      <w:bCs/>
      <w:sz w:val="32"/>
      <w:szCs w:val="32"/>
    </w:rPr>
  </w:style>
  <w:style w:type="paragraph" w:customStyle="1"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政务公开信息</a:t>
            </a:r>
          </a:p>
        </c:rich>
      </c:tx>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delete val="true"/>
          </c:dLbls>
          <c:cat>
            <c:strRef>
              <c:f>[Book1]Sheet2!$A$2:$J$2</c:f>
              <c:strCache>
                <c:ptCount val="10"/>
                <c:pt idx="0">
                  <c:v>机构职能</c:v>
                </c:pt>
                <c:pt idx="1">
                  <c:v>政策文件</c:v>
                </c:pt>
                <c:pt idx="2">
                  <c:v>政策解读</c:v>
                </c:pt>
                <c:pt idx="3">
                  <c:v>规划计划</c:v>
                </c:pt>
                <c:pt idx="4">
                  <c:v>重要部署执行</c:v>
                </c:pt>
                <c:pt idx="5">
                  <c:v>行政权力</c:v>
                </c:pt>
                <c:pt idx="6">
                  <c:v>建议提案</c:v>
                </c:pt>
                <c:pt idx="7">
                  <c:v>重点领域</c:v>
                </c:pt>
                <c:pt idx="8">
                  <c:v>组织管理</c:v>
                </c:pt>
                <c:pt idx="9">
                  <c:v>政务公开目录</c:v>
                </c:pt>
              </c:strCache>
            </c:strRef>
          </c:cat>
          <c:val>
            <c:numRef>
              <c:f>[Book1]Sheet2!$A$3:$J$3</c:f>
              <c:numCache>
                <c:formatCode>General</c:formatCode>
                <c:ptCount val="10"/>
                <c:pt idx="0">
                  <c:v>3</c:v>
                </c:pt>
                <c:pt idx="1">
                  <c:v>18</c:v>
                </c:pt>
                <c:pt idx="2">
                  <c:v>6</c:v>
                </c:pt>
                <c:pt idx="3">
                  <c:v>1</c:v>
                </c:pt>
                <c:pt idx="4">
                  <c:v>16</c:v>
                </c:pt>
                <c:pt idx="5">
                  <c:v>6</c:v>
                </c:pt>
                <c:pt idx="6">
                  <c:v>3</c:v>
                </c:pt>
                <c:pt idx="7">
                  <c:v>6</c:v>
                </c:pt>
                <c:pt idx="8">
                  <c:v>4</c:v>
                </c:pt>
                <c:pt idx="9">
                  <c:v>1</c:v>
                </c:pt>
              </c:numCache>
            </c:numRef>
          </c:val>
        </c:ser>
        <c:dLbls>
          <c:showLegendKey val="false"/>
          <c:showVal val="false"/>
          <c:showCatName val="false"/>
          <c:showSerName val="false"/>
          <c:showPercent val="false"/>
          <c:showBubbleSize val="false"/>
        </c:dLbls>
        <c:gapWidth val="219"/>
        <c:overlap val="-27"/>
        <c:axId val="286146898"/>
        <c:axId val="959065686"/>
      </c:barChart>
      <c:catAx>
        <c:axId val="286146898"/>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59065686"/>
        <c:crosses val="autoZero"/>
        <c:auto val="true"/>
        <c:lblAlgn val="ctr"/>
        <c:lblOffset val="100"/>
        <c:noMultiLvlLbl val="false"/>
      </c:catAx>
      <c:valAx>
        <c:axId val="959065686"/>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86146898"/>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1584</Words>
  <Characters>9030</Characters>
  <Lines>75</Lines>
  <Paragraphs>21</Paragraphs>
  <TotalTime>0</TotalTime>
  <ScaleCrop>false</ScaleCrop>
  <LinksUpToDate>false</LinksUpToDate>
  <CharactersWithSpaces>10593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2021-09-03T23:57:00Z</dcterms:created>
  <dc:creator>qiyuanhua0168@163.com</dc:creator>
  <cp:lastModifiedBy>user</cp:lastModifiedBy>
  <cp:lastPrinted>2021-12-06T17:42:00Z</cp:lastPrinted>
  <dcterms:modified xsi:type="dcterms:W3CDTF">2022-01-27T11:35:23Z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