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小标宋简体" w:cs="Times New Roman"/>
          <w:color w:val="000000"/>
          <w:kern w:val="16"/>
          <w:sz w:val="44"/>
          <w:szCs w:val="44"/>
        </w:rPr>
      </w:pPr>
      <w:r>
        <w:rPr>
          <w:rFonts w:hint="default" w:ascii="Times New Roman" w:hAnsi="Times New Roman" w:eastAsia="方正小标宋简体" w:cs="Times New Roman"/>
          <w:color w:val="000000"/>
          <w:kern w:val="16"/>
          <w:sz w:val="44"/>
          <w:szCs w:val="44"/>
          <w:lang w:val="en-US" w:eastAsia="zh-CN"/>
        </w:rPr>
        <w:t>薛城区</w:t>
      </w:r>
      <w:r>
        <w:rPr>
          <w:rFonts w:hint="eastAsia" w:ascii="Times New Roman" w:hAnsi="Times New Roman" w:eastAsia="方正小标宋简体" w:cs="Times New Roman"/>
          <w:color w:val="000000"/>
          <w:kern w:val="16"/>
          <w:sz w:val="44"/>
          <w:szCs w:val="44"/>
          <w:lang w:val="en-US" w:eastAsia="zh-CN"/>
        </w:rPr>
        <w:t>住建</w:t>
      </w:r>
      <w:r>
        <w:rPr>
          <w:rFonts w:hint="default" w:ascii="Times New Roman" w:hAnsi="Times New Roman" w:eastAsia="方正小标宋简体" w:cs="Times New Roman"/>
          <w:color w:val="000000"/>
          <w:kern w:val="16"/>
          <w:sz w:val="44"/>
          <w:szCs w:val="44"/>
          <w:lang w:val="en-US" w:eastAsia="zh-CN"/>
        </w:rPr>
        <w:t>局202</w:t>
      </w:r>
      <w:r>
        <w:rPr>
          <w:rFonts w:hint="eastAsia" w:ascii="Times New Roman" w:hAnsi="Times New Roman" w:eastAsia="方正小标宋简体" w:cs="Times New Roman"/>
          <w:color w:val="000000"/>
          <w:kern w:val="16"/>
          <w:sz w:val="44"/>
          <w:szCs w:val="44"/>
          <w:lang w:val="en-US" w:eastAsia="zh-CN"/>
        </w:rPr>
        <w:t>1</w:t>
      </w:r>
      <w:r>
        <w:rPr>
          <w:rFonts w:hint="default" w:ascii="Times New Roman" w:hAnsi="Times New Roman" w:eastAsia="方正小标宋简体" w:cs="Times New Roman"/>
          <w:color w:val="000000"/>
          <w:kern w:val="16"/>
          <w:sz w:val="44"/>
          <w:szCs w:val="44"/>
          <w:lang w:val="en-US" w:eastAsia="zh-CN"/>
        </w:rPr>
        <w:t>年度政府信息</w:t>
      </w:r>
      <w:r>
        <w:rPr>
          <w:rFonts w:hint="default" w:ascii="Times New Roman" w:hAnsi="Times New Roman" w:eastAsia="方正小标宋简体" w:cs="Times New Roman"/>
          <w:color w:val="000000"/>
          <w:kern w:val="16"/>
          <w:sz w:val="44"/>
          <w:szCs w:val="44"/>
        </w:rPr>
        <w:t>公开</w:t>
      </w:r>
      <w:r>
        <w:rPr>
          <w:rFonts w:hint="default" w:ascii="Times New Roman" w:hAnsi="Times New Roman" w:eastAsia="方正小标宋简体" w:cs="Times New Roman"/>
          <w:color w:val="000000"/>
          <w:kern w:val="16"/>
          <w:sz w:val="44"/>
          <w:szCs w:val="44"/>
          <w:lang w:val="en-US" w:eastAsia="zh-CN"/>
        </w:rPr>
        <w:t>工作</w:t>
      </w:r>
      <w:r>
        <w:rPr>
          <w:rFonts w:hint="default" w:ascii="Times New Roman" w:hAnsi="Times New Roman" w:eastAsia="方正小标宋简体" w:cs="Times New Roman"/>
          <w:color w:val="000000"/>
          <w:kern w:val="16"/>
          <w:sz w:val="44"/>
          <w:szCs w:val="44"/>
        </w:rPr>
        <w:t>年度报告</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Style w:val="7"/>
          <w:rFonts w:hint="eastAsia" w:ascii="仿宋_GB2312" w:hAnsi="仿宋_GB2312" w:eastAsia="仿宋_GB2312" w:cs="仿宋_GB2312"/>
          <w:i w:val="0"/>
          <w:iCs w:val="0"/>
          <w:caps w:val="0"/>
          <w:color w:val="333333"/>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shd w:val="clear" w:fill="FFFFFF"/>
        </w:rPr>
        <w:t>根据《中华人民共和国政府信息公开条例》（国务院令第711号，以下简称《条例》）和《国务院办公厅政府信息与政务公开办公室关于政府信息公开工作年度报告有关事项的通知》（国办公开办函〔2019〕60号）要求，现就推进政府信息公开工作情况，向社会公布薛城</w:t>
      </w:r>
      <w:r>
        <w:rPr>
          <w:rFonts w:hint="eastAsia" w:ascii="仿宋_GB2312" w:hAnsi="仿宋_GB2312" w:eastAsia="仿宋_GB2312" w:cs="仿宋_GB2312"/>
          <w:i w:val="0"/>
          <w:iCs w:val="0"/>
          <w:caps w:val="0"/>
          <w:color w:val="000000"/>
          <w:spacing w:val="0"/>
          <w:sz w:val="32"/>
          <w:szCs w:val="32"/>
          <w:shd w:val="clear" w:fill="FFFFFF"/>
          <w:lang w:val="en-US" w:eastAsia="zh-CN"/>
        </w:rPr>
        <w:t>住建局</w:t>
      </w:r>
      <w:r>
        <w:rPr>
          <w:rFonts w:hint="eastAsia" w:ascii="仿宋_GB2312" w:hAnsi="仿宋_GB2312" w:eastAsia="仿宋_GB2312" w:cs="仿宋_GB2312"/>
          <w:i w:val="0"/>
          <w:iCs w:val="0"/>
          <w:caps w:val="0"/>
          <w:color w:val="000000"/>
          <w:spacing w:val="0"/>
          <w:sz w:val="32"/>
          <w:szCs w:val="32"/>
          <w:shd w:val="clear" w:fill="FFFFFF"/>
        </w:rPr>
        <w:t>2021年度政府信息公开工作年度报告。本报告包括总体情况、主动公开政府信息情况、收到和处理政府信息公开申请情况、政府信息公开行政复议和行政诉讼情况、存在的问题及改进情况、其他需要报告的事项等六个部分。本年度报告中所列数据的统计期限自2021年1月1日起至2021年12月31日止。本年度报告的电子版可以在“薛城区政府门户网站”（http://xxgk.xuecheng.gov.cn/xxgknb/2020xxgknb/）下载。如对本报告有疑问，可与薛城区</w:t>
      </w:r>
      <w:r>
        <w:rPr>
          <w:rFonts w:hint="eastAsia" w:ascii="仿宋_GB2312" w:hAnsi="仿宋_GB2312" w:eastAsia="仿宋_GB2312" w:cs="仿宋_GB2312"/>
          <w:i w:val="0"/>
          <w:iCs w:val="0"/>
          <w:caps w:val="0"/>
          <w:color w:val="000000"/>
          <w:spacing w:val="0"/>
          <w:sz w:val="32"/>
          <w:szCs w:val="32"/>
          <w:shd w:val="clear" w:fill="FFFFFF"/>
          <w:lang w:val="en-US" w:eastAsia="zh-CN"/>
        </w:rPr>
        <w:t>住建</w:t>
      </w:r>
      <w:r>
        <w:rPr>
          <w:rFonts w:hint="eastAsia" w:ascii="仿宋_GB2312" w:hAnsi="仿宋_GB2312" w:eastAsia="仿宋_GB2312" w:cs="仿宋_GB2312"/>
          <w:i w:val="0"/>
          <w:iCs w:val="0"/>
          <w:caps w:val="0"/>
          <w:color w:val="000000"/>
          <w:spacing w:val="0"/>
          <w:sz w:val="32"/>
          <w:szCs w:val="32"/>
          <w:shd w:val="clear" w:fill="FFFFFF"/>
        </w:rPr>
        <w:t>局办公室联系（地址：枣庄市薛城区</w:t>
      </w:r>
      <w:r>
        <w:rPr>
          <w:rFonts w:hint="eastAsia" w:ascii="仿宋_GB2312" w:hAnsi="仿宋_GB2312" w:eastAsia="仿宋_GB2312" w:cs="仿宋_GB2312"/>
          <w:i w:val="0"/>
          <w:iCs w:val="0"/>
          <w:caps w:val="0"/>
          <w:color w:val="000000"/>
          <w:spacing w:val="0"/>
          <w:sz w:val="32"/>
          <w:szCs w:val="32"/>
          <w:shd w:val="clear" w:fill="FFFFFF"/>
          <w:lang w:val="en-US" w:eastAsia="zh-CN"/>
        </w:rPr>
        <w:t>常青巷八一小区</w:t>
      </w:r>
      <w:r>
        <w:rPr>
          <w:rFonts w:hint="eastAsia" w:ascii="仿宋_GB2312" w:hAnsi="仿宋_GB2312" w:eastAsia="仿宋_GB2312" w:cs="仿宋_GB2312"/>
          <w:i w:val="0"/>
          <w:iCs w:val="0"/>
          <w:caps w:val="0"/>
          <w:color w:val="000000"/>
          <w:spacing w:val="0"/>
          <w:sz w:val="32"/>
          <w:szCs w:val="32"/>
          <w:shd w:val="clear" w:fill="FFFFFF"/>
        </w:rPr>
        <w:t>，邮编：277000，联系电话：0632—44</w:t>
      </w:r>
      <w:r>
        <w:rPr>
          <w:rFonts w:hint="eastAsia" w:ascii="仿宋_GB2312" w:hAnsi="仿宋_GB2312" w:eastAsia="仿宋_GB2312" w:cs="仿宋_GB2312"/>
          <w:i w:val="0"/>
          <w:iCs w:val="0"/>
          <w:caps w:val="0"/>
          <w:color w:val="000000"/>
          <w:spacing w:val="0"/>
          <w:sz w:val="32"/>
          <w:szCs w:val="32"/>
          <w:shd w:val="clear" w:fill="FFFFFF"/>
          <w:lang w:val="en-US" w:eastAsia="zh-CN"/>
        </w:rPr>
        <w:t>27866</w:t>
      </w:r>
      <w:r>
        <w:rPr>
          <w:rFonts w:hint="eastAsia" w:ascii="仿宋_GB2312" w:hAnsi="仿宋_GB2312" w:eastAsia="仿宋_GB2312" w:cs="仿宋_GB2312"/>
          <w:i w:val="0"/>
          <w:iCs w:val="0"/>
          <w:caps w:val="0"/>
          <w:color w:val="000000"/>
          <w:spacing w:val="0"/>
          <w:sz w:val="32"/>
          <w:szCs w:val="32"/>
          <w:shd w:val="clear" w:fill="FFFFFF"/>
        </w:rPr>
        <w:t>，电子信</w:t>
      </w:r>
      <w:r>
        <w:rPr>
          <w:rFonts w:hint="eastAsia" w:ascii="仿宋_GB2312" w:hAnsi="仿宋_GB2312" w:eastAsia="仿宋_GB2312" w:cs="仿宋_GB2312"/>
          <w:i w:val="0"/>
          <w:iCs w:val="0"/>
          <w:caps w:val="0"/>
          <w:color w:val="000000"/>
          <w:spacing w:val="0"/>
          <w:sz w:val="32"/>
          <w:szCs w:val="32"/>
          <w:shd w:val="clear" w:fill="FFFFFF"/>
          <w:lang w:eastAsia="zh-CN"/>
        </w:rPr>
        <w:t>（</w:t>
      </w:r>
      <w:r>
        <w:rPr>
          <w:rStyle w:val="7"/>
          <w:rFonts w:hint="eastAsia" w:ascii="仿宋_GB2312" w:hAnsi="仿宋_GB2312" w:eastAsia="仿宋_GB2312" w:cs="仿宋_GB2312"/>
          <w:i w:val="0"/>
          <w:iCs w:val="0"/>
          <w:caps w:val="0"/>
          <w:color w:val="333333"/>
          <w:spacing w:val="0"/>
          <w:sz w:val="32"/>
          <w:szCs w:val="32"/>
          <w:u w:val="none"/>
          <w:shd w:val="clear" w:fill="FFFFFF"/>
        </w:rPr>
        <w:t>xcqzfhcxjsj@zz.shandong.cn</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u w:val="none"/>
          <w:shd w:val="clear" w:fill="FFFFFF"/>
        </w:rPr>
        <w:fldChar w:fldCharType="begin"/>
      </w:r>
      <w:r>
        <w:rPr>
          <w:rFonts w:hint="eastAsia" w:ascii="仿宋_GB2312" w:hAnsi="仿宋_GB2312" w:eastAsia="仿宋_GB2312" w:cs="仿宋_GB2312"/>
          <w:i w:val="0"/>
          <w:iCs w:val="0"/>
          <w:caps w:val="0"/>
          <w:color w:val="333333"/>
          <w:spacing w:val="0"/>
          <w:sz w:val="32"/>
          <w:szCs w:val="32"/>
          <w:u w:val="none"/>
          <w:shd w:val="clear" w:fill="FFFFFF"/>
        </w:rPr>
        <w:instrText xml:space="preserve"> HYPERLINK "mailto:xcqcxswj@zz.shandong.cn%EF%BC%89%E3%80%82" </w:instrText>
      </w:r>
      <w:r>
        <w:rPr>
          <w:rFonts w:hint="eastAsia" w:ascii="仿宋_GB2312" w:hAnsi="仿宋_GB2312" w:eastAsia="仿宋_GB2312" w:cs="仿宋_GB2312"/>
          <w:i w:val="0"/>
          <w:iCs w:val="0"/>
          <w:caps w:val="0"/>
          <w:color w:val="333333"/>
          <w:spacing w:val="0"/>
          <w:sz w:val="32"/>
          <w:szCs w:val="32"/>
          <w:u w:val="none"/>
          <w:shd w:val="clear" w:fill="FFFFFF"/>
        </w:rPr>
        <w:fldChar w:fldCharType="separate"/>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default" w:ascii="Times New Roman" w:hAnsi="Times New Roman" w:eastAsia="黑体" w:cs="Times New Roman"/>
          <w:color w:val="000000"/>
          <w:kern w:val="0"/>
          <w:sz w:val="32"/>
          <w:szCs w:val="32"/>
        </w:rPr>
      </w:pPr>
      <w:r>
        <w:rPr>
          <w:rFonts w:hint="eastAsia" w:ascii="仿宋_GB2312" w:hAnsi="仿宋_GB2312" w:eastAsia="仿宋_GB2312" w:cs="仿宋_GB2312"/>
          <w:i w:val="0"/>
          <w:iCs w:val="0"/>
          <w:caps w:val="0"/>
          <w:color w:val="333333"/>
          <w:spacing w:val="0"/>
          <w:sz w:val="32"/>
          <w:szCs w:val="32"/>
          <w:u w:val="none"/>
          <w:shd w:val="clear" w:fill="FFFFFF"/>
        </w:rPr>
        <w:fldChar w:fldCharType="end"/>
      </w:r>
      <w:r>
        <w:rPr>
          <w:rFonts w:hint="default" w:ascii="Times New Roman" w:hAnsi="Times New Roman" w:eastAsia="黑体" w:cs="Times New Roman"/>
          <w:color w:val="000000"/>
          <w:kern w:val="0"/>
          <w:sz w:val="32"/>
          <w:szCs w:val="32"/>
        </w:rPr>
        <w:t>一、</w:t>
      </w:r>
      <w:r>
        <w:rPr>
          <w:rFonts w:hint="default" w:ascii="Times New Roman" w:hAnsi="Times New Roman" w:eastAsia="黑体" w:cs="Times New Roman"/>
          <w:color w:val="000000"/>
          <w:kern w:val="0"/>
          <w:sz w:val="32"/>
          <w:szCs w:val="32"/>
          <w:lang w:val="en-US" w:eastAsia="zh-CN"/>
        </w:rPr>
        <w:t>整体</w:t>
      </w:r>
      <w:r>
        <w:rPr>
          <w:rFonts w:hint="default" w:ascii="Times New Roman" w:hAnsi="Times New Roman" w:eastAsia="黑体" w:cs="Times New Roman"/>
          <w:color w:val="000000"/>
          <w:kern w:val="0"/>
          <w:sz w:val="32"/>
          <w:szCs w:val="32"/>
        </w:rPr>
        <w:t>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Times New Roman"/>
          <w:i w:val="0"/>
          <w:iCs w:val="0"/>
          <w:caps w:val="0"/>
          <w:color w:val="auto"/>
          <w:spacing w:val="0"/>
          <w:sz w:val="32"/>
          <w:szCs w:val="32"/>
          <w:u w:val="none"/>
          <w:shd w:val="clear" w:fill="FFFFFF"/>
          <w:lang w:val="en-US" w:eastAsia="zh-CN"/>
        </w:rPr>
      </w:pP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2021年，薛城区住建局政务公开工作以习近平新时代中国特色社会主义思想为指导，全面贯彻党的十九大和十九届历次全会精神，严格落实区委区政府关于全面推进政务公开的系列部署，政务公开质量和实效全面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auto"/>
          <w:spacing w:val="0"/>
          <w:sz w:val="32"/>
          <w:szCs w:val="32"/>
          <w:u w:val="none"/>
          <w:shd w:val="clear" w:fill="FFFFFF"/>
          <w:lang w:val="en-US" w:eastAsia="zh-CN"/>
        </w:rPr>
      </w:pP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（一）主动公开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i w:val="0"/>
          <w:iCs w:val="0"/>
          <w:caps w:val="0"/>
          <w:color w:val="auto"/>
          <w:spacing w:val="0"/>
          <w:sz w:val="32"/>
          <w:szCs w:val="32"/>
          <w:u w:val="none"/>
          <w:shd w:val="clear" w:fill="FFFFFF"/>
          <w:lang w:val="en-US" w:eastAsia="zh-CN"/>
        </w:rPr>
        <w:t>今年以来，</w:t>
      </w:r>
      <w:r>
        <w:rPr>
          <w:rFonts w:hint="eastAsia" w:ascii="仿宋_GB2312" w:hAnsi="sans-serif" w:eastAsia="仿宋_GB2312" w:cs="仿宋_GB2312"/>
          <w:i w:val="0"/>
          <w:iCs w:val="0"/>
          <w:caps w:val="0"/>
          <w:color w:val="000000"/>
          <w:spacing w:val="0"/>
          <w:sz w:val="31"/>
          <w:szCs w:val="31"/>
          <w:shd w:val="clear" w:fill="FFFFFF"/>
        </w:rPr>
        <w:t>区住建局通过薛城区政府信息公开门户网站，累计发布部门业务工作、权责清单、“双随机、一公开”监管、行政执法公示、重点工作和民生实事项目、住房保障、政务公开组织管理等信息共计</w:t>
      </w:r>
      <w:r>
        <w:rPr>
          <w:rFonts w:hint="default" w:ascii="Times New Roman" w:hAnsi="Times New Roman" w:eastAsia="楷体" w:cs="Times New Roman"/>
          <w:i w:val="0"/>
          <w:iCs w:val="0"/>
          <w:caps w:val="0"/>
          <w:color w:val="000000"/>
          <w:spacing w:val="0"/>
          <w:sz w:val="31"/>
          <w:szCs w:val="31"/>
          <w:shd w:val="clear" w:fill="FFFFFF"/>
          <w:lang w:val="en-US" w:eastAsia="zh-CN"/>
        </w:rPr>
        <w:t>1</w:t>
      </w:r>
      <w:r>
        <w:rPr>
          <w:rFonts w:hint="eastAsia" w:ascii="Times New Roman" w:hAnsi="Times New Roman" w:eastAsia="楷体" w:cs="Times New Roman"/>
          <w:i w:val="0"/>
          <w:iCs w:val="0"/>
          <w:caps w:val="0"/>
          <w:color w:val="000000"/>
          <w:spacing w:val="0"/>
          <w:sz w:val="31"/>
          <w:szCs w:val="31"/>
          <w:shd w:val="clear" w:fill="FFFFFF"/>
          <w:lang w:val="en-US" w:eastAsia="zh-CN"/>
        </w:rPr>
        <w:t>43</w:t>
      </w:r>
      <w:r>
        <w:rPr>
          <w:rFonts w:hint="eastAsia" w:ascii="仿宋_GB2312" w:hAnsi="sans-serif" w:eastAsia="仿宋_GB2312" w:cs="仿宋_GB2312"/>
          <w:i w:val="0"/>
          <w:iCs w:val="0"/>
          <w:caps w:val="0"/>
          <w:color w:val="000000"/>
          <w:spacing w:val="0"/>
          <w:sz w:val="31"/>
          <w:szCs w:val="31"/>
          <w:shd w:val="clear" w:fill="FFFFFF"/>
        </w:rPr>
        <w:t>余条</w:t>
      </w:r>
      <w:r>
        <w:rPr>
          <w:rFonts w:hint="eastAsia" w:ascii="仿宋_GB2312" w:hAnsi="sans-serif" w:eastAsia="仿宋_GB2312" w:cs="仿宋_GB2312"/>
          <w:i w:val="0"/>
          <w:iCs w:val="0"/>
          <w:caps w:val="0"/>
          <w:color w:val="000000"/>
          <w:spacing w:val="0"/>
          <w:sz w:val="31"/>
          <w:szCs w:val="31"/>
          <w:shd w:val="clear" w:fill="FFFFFF"/>
          <w:lang w:eastAsia="zh-CN"/>
        </w:rPr>
        <w:t>。</w:t>
      </w:r>
      <w:r>
        <w:rPr>
          <w:rFonts w:hint="eastAsia" w:ascii="仿宋_GB2312" w:hAnsi="sans-serif" w:eastAsia="仿宋_GB2312" w:cs="仿宋_GB2312"/>
          <w:i w:val="0"/>
          <w:iCs w:val="0"/>
          <w:caps w:val="0"/>
          <w:color w:val="000000"/>
          <w:spacing w:val="0"/>
          <w:sz w:val="31"/>
          <w:szCs w:val="31"/>
          <w:shd w:val="clear" w:fill="FFFFFF"/>
          <w:lang w:val="en-US" w:eastAsia="zh-CN"/>
        </w:rPr>
        <w:t>其中：</w:t>
      </w:r>
      <w:r>
        <w:rPr>
          <w:rFonts w:hint="default" w:ascii="Times New Roman" w:hAnsi="Times New Roman" w:eastAsia="仿宋_GB2312" w:cs="Times New Roman"/>
          <w:sz w:val="32"/>
          <w:szCs w:val="32"/>
        </w:rPr>
        <w:t>机构职能信息</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条，</w:t>
      </w:r>
      <w:r>
        <w:rPr>
          <w:rFonts w:hint="eastAsia" w:ascii="Times New Roman" w:hAnsi="Times New Roman" w:eastAsia="仿宋_GB2312" w:cs="Times New Roman"/>
          <w:sz w:val="32"/>
          <w:szCs w:val="32"/>
          <w:lang w:eastAsia="zh-CN"/>
        </w:rPr>
        <w:t>政策文件信息</w:t>
      </w:r>
      <w:r>
        <w:rPr>
          <w:rFonts w:hint="eastAsia" w:ascii="Times New Roman" w:hAnsi="Times New Roman" w:eastAsia="仿宋_GB2312" w:cs="Times New Roman"/>
          <w:sz w:val="32"/>
          <w:szCs w:val="32"/>
          <w:lang w:val="en-US" w:eastAsia="zh-CN"/>
        </w:rPr>
        <w:t>7条，</w:t>
      </w:r>
      <w:r>
        <w:rPr>
          <w:rFonts w:hint="default" w:ascii="Times New Roman" w:hAnsi="Times New Roman" w:eastAsia="仿宋_GB2312" w:cs="Times New Roman"/>
          <w:sz w:val="32"/>
          <w:szCs w:val="32"/>
        </w:rPr>
        <w:t>行政权力信息</w:t>
      </w:r>
      <w:r>
        <w:rPr>
          <w:rFonts w:hint="eastAsia" w:ascii="Times New Roman" w:hAnsi="Times New Roman" w:eastAsia="仿宋_GB2312" w:cs="Times New Roman"/>
          <w:sz w:val="32"/>
          <w:szCs w:val="32"/>
          <w:lang w:val="en-US" w:eastAsia="zh-CN"/>
        </w:rPr>
        <w:t>53</w:t>
      </w:r>
      <w:r>
        <w:rPr>
          <w:rFonts w:hint="default" w:ascii="Times New Roman" w:hAnsi="Times New Roman" w:eastAsia="仿宋_GB2312" w:cs="Times New Roman"/>
          <w:sz w:val="32"/>
          <w:szCs w:val="32"/>
        </w:rPr>
        <w:t>条，政务公开保障机制信息</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条</w:t>
      </w:r>
      <w:r>
        <w:rPr>
          <w:rFonts w:hint="eastAsia" w:ascii="Times New Roman" w:hAnsi="Times New Roman" w:eastAsia="仿宋_GB2312" w:cs="Times New Roman"/>
          <w:sz w:val="32"/>
          <w:szCs w:val="32"/>
          <w:lang w:eastAsia="zh-CN"/>
        </w:rPr>
        <w:t>，重点领域信息公开</w:t>
      </w:r>
      <w:r>
        <w:rPr>
          <w:rFonts w:hint="eastAsia" w:ascii="Times New Roman" w:hAnsi="Times New Roman" w:eastAsia="仿宋_GB2312" w:cs="Times New Roman"/>
          <w:sz w:val="32"/>
          <w:szCs w:val="32"/>
          <w:lang w:val="en-US" w:eastAsia="zh-CN"/>
        </w:rPr>
        <w:t>36条</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i w:val="0"/>
          <w:iCs w:val="0"/>
          <w:caps w:val="0"/>
          <w:color w:val="auto"/>
          <w:spacing w:val="0"/>
          <w:sz w:val="32"/>
          <w:szCs w:val="32"/>
          <w:u w:val="none"/>
          <w:shd w:val="clear" w:fill="FFFFFF"/>
          <w:lang w:val="en-US" w:eastAsia="zh-CN"/>
        </w:rPr>
      </w:pP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二）依申请公开。为依法保障公民、法人和其他组织获取政府信息的权利，区住建局政府信息依申请公开渠道一直保持畅通，2021年度共受理政府信息依申请公开15件，存在行政复议1件，不存在行政诉讼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auto"/>
          <w:spacing w:val="0"/>
          <w:sz w:val="32"/>
          <w:szCs w:val="32"/>
          <w:u w:val="none"/>
          <w:shd w:val="clear" w:fill="FFFFFF"/>
          <w:lang w:val="en-US" w:eastAsia="zh-CN"/>
        </w:rPr>
      </w:pP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三）政府信息管理。薛城区住建局局积极推动政务公开标准化规范化工作。自基层政务公开标准化规范化工作开展以来，严格按照全面推进政务公开标准化规范化工作的实施方案要求，明确时间节点，细化工作任务，确保政务公开工作科学化、标准化、规范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仿宋_GB2312" w:cs="Times New Roman"/>
          <w:i w:val="0"/>
          <w:iCs w:val="0"/>
          <w:caps w:val="0"/>
          <w:color w:val="auto"/>
          <w:spacing w:val="0"/>
          <w:sz w:val="32"/>
          <w:szCs w:val="32"/>
          <w:u w:val="none"/>
          <w:shd w:val="clear" w:fill="FFFFFF"/>
          <w:lang w:val="en-US" w:eastAsia="zh-CN"/>
        </w:rPr>
      </w:pP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（四）政府信息公开平台建设。根据政务公开新标准、新要求，及时更新本机关主动公开标准目录，及时上传、修改相关内容，确保群众能够获取并查阅到精准信息。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黑体" w:cs="Times New Roman"/>
          <w:color w:val="000000"/>
          <w:kern w:val="0"/>
          <w:sz w:val="32"/>
          <w:szCs w:val="32"/>
        </w:rPr>
      </w:pP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（五）监督保障。</w:t>
      </w:r>
      <w:r>
        <w:rPr>
          <w:rFonts w:hint="eastAsia" w:ascii="仿宋_GB2312" w:hAnsi="sans-serif" w:eastAsia="仿宋_GB2312" w:cs="仿宋_GB2312"/>
          <w:i w:val="0"/>
          <w:iCs w:val="0"/>
          <w:caps w:val="0"/>
          <w:color w:val="000000"/>
          <w:spacing w:val="0"/>
          <w:sz w:val="31"/>
          <w:szCs w:val="31"/>
          <w:lang w:val="en-US" w:eastAsia="zh-CN"/>
        </w:rPr>
        <w:t>成立以局长为第一责任人、分管领导为直接责任人、相关单位、科室主任为成员的领导小组</w:t>
      </w:r>
      <w:r>
        <w:rPr>
          <w:rFonts w:hint="eastAsia" w:ascii="仿宋_GB2312" w:hAnsi="sans-serif" w:eastAsia="仿宋_GB2312" w:cs="仿宋_GB2312"/>
          <w:i w:val="0"/>
          <w:iCs w:val="0"/>
          <w:caps w:val="0"/>
          <w:color w:val="000000"/>
          <w:spacing w:val="0"/>
          <w:sz w:val="31"/>
          <w:szCs w:val="31"/>
        </w:rPr>
        <w:t>，领导小组下设办公室，具体负责日常政务工作开展及协调。</w:t>
      </w: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为贯彻执行上级对政务公开工作的要求，进一步提高政务公开工作人员素质，制定了2021年度政务公开业务培训计划，按照计划实施开展培训。</w:t>
      </w:r>
    </w:p>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二、主动公开政府信息情况</w:t>
      </w:r>
    </w:p>
    <w:tbl>
      <w:tblPr>
        <w:tblStyle w:val="5"/>
        <w:tblW w:w="5000" w:type="pct"/>
        <w:jc w:val="center"/>
        <w:tblLayout w:type="autofit"/>
        <w:tblCellMar>
          <w:top w:w="0" w:type="dxa"/>
          <w:left w:w="0" w:type="dxa"/>
          <w:bottom w:w="0" w:type="dxa"/>
          <w:right w:w="0" w:type="dxa"/>
        </w:tblCellMar>
      </w:tblPr>
      <w:tblGrid>
        <w:gridCol w:w="3252"/>
        <w:gridCol w:w="1962"/>
        <w:gridCol w:w="1425"/>
        <w:gridCol w:w="1883"/>
      </w:tblGrid>
      <w:tr>
        <w:tblPrEx>
          <w:tblCellMar>
            <w:top w:w="0" w:type="dxa"/>
            <w:left w:w="0" w:type="dxa"/>
            <w:bottom w:w="0" w:type="dxa"/>
            <w:right w:w="0" w:type="dxa"/>
          </w:tblCellMar>
        </w:tblPrEx>
        <w:trPr>
          <w:trHeight w:val="431"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0"/>
                <w:szCs w:val="20"/>
              </w:rPr>
              <w:t>第二十条第（一）项</w:t>
            </w:r>
          </w:p>
        </w:tc>
      </w:tr>
      <w:tr>
        <w:trPr>
          <w:trHeight w:val="462" w:hRule="atLeast"/>
          <w:jc w:val="center"/>
        </w:trPr>
        <w:tc>
          <w:tcPr>
            <w:tcW w:w="190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楷体" w:hAnsi="楷体" w:eastAsia="楷体" w:cs="楷体"/>
                <w:kern w:val="0"/>
                <w:sz w:val="24"/>
                <w:szCs w:val="24"/>
              </w:rPr>
            </w:pPr>
            <w:r>
              <w:rPr>
                <w:rFonts w:hint="eastAsia" w:ascii="楷体" w:hAnsi="楷体" w:eastAsia="楷体" w:cs="楷体"/>
                <w:color w:val="000000"/>
                <w:kern w:val="0"/>
                <w:sz w:val="20"/>
                <w:szCs w:val="20"/>
              </w:rPr>
              <w:t>信息内容</w:t>
            </w:r>
          </w:p>
        </w:tc>
        <w:tc>
          <w:tcPr>
            <w:tcW w:w="1151" w:type="pc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楷体" w:hAnsi="楷体" w:eastAsia="楷体" w:cs="楷体"/>
                <w:kern w:val="0"/>
                <w:sz w:val="24"/>
                <w:szCs w:val="24"/>
                <w:lang w:val="en-US" w:eastAsia="zh-CN"/>
              </w:rPr>
            </w:pPr>
            <w:r>
              <w:rPr>
                <w:rFonts w:hint="eastAsia" w:ascii="楷体" w:hAnsi="楷体" w:eastAsia="楷体" w:cs="楷体"/>
                <w:color w:val="000000"/>
                <w:kern w:val="0"/>
                <w:sz w:val="20"/>
                <w:szCs w:val="20"/>
              </w:rPr>
              <w:t>本年</w:t>
            </w:r>
            <w:r>
              <w:rPr>
                <w:rFonts w:hint="eastAsia" w:ascii="楷体" w:hAnsi="楷体" w:eastAsia="楷体" w:cs="楷体"/>
                <w:kern w:val="0"/>
                <w:sz w:val="20"/>
                <w:szCs w:val="20"/>
              </w:rPr>
              <w:t>制</w:t>
            </w:r>
            <w:r>
              <w:rPr>
                <w:rFonts w:hint="eastAsia" w:ascii="楷体" w:hAnsi="楷体" w:eastAsia="楷体" w:cs="楷体"/>
                <w:kern w:val="0"/>
                <w:sz w:val="20"/>
                <w:szCs w:val="20"/>
                <w:lang w:val="en-US" w:eastAsia="zh-CN"/>
              </w:rPr>
              <w:t>发件数</w:t>
            </w:r>
          </w:p>
        </w:tc>
        <w:tc>
          <w:tcPr>
            <w:tcW w:w="836"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楷体" w:hAnsi="楷体" w:eastAsia="楷体" w:cs="楷体"/>
                <w:kern w:val="0"/>
                <w:sz w:val="24"/>
                <w:szCs w:val="24"/>
                <w:lang w:val="en-US" w:eastAsia="zh-CN"/>
              </w:rPr>
            </w:pPr>
            <w:r>
              <w:rPr>
                <w:rFonts w:hint="eastAsia" w:ascii="楷体" w:hAnsi="楷体" w:eastAsia="楷体" w:cs="楷体"/>
                <w:color w:val="000000"/>
                <w:kern w:val="0"/>
                <w:sz w:val="20"/>
                <w:szCs w:val="20"/>
              </w:rPr>
              <w:t>本年</w:t>
            </w:r>
            <w:r>
              <w:rPr>
                <w:rFonts w:hint="eastAsia" w:ascii="楷体" w:hAnsi="楷体" w:eastAsia="楷体" w:cs="楷体"/>
                <w:color w:val="000000"/>
                <w:kern w:val="0"/>
                <w:sz w:val="20"/>
                <w:szCs w:val="20"/>
                <w:lang w:val="en-US" w:eastAsia="zh-CN"/>
              </w:rPr>
              <w:t>废止件数</w:t>
            </w:r>
          </w:p>
        </w:tc>
        <w:tc>
          <w:tcPr>
            <w:tcW w:w="1104" w:type="pct"/>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楷体" w:hAnsi="楷体" w:eastAsia="楷体" w:cs="楷体"/>
                <w:kern w:val="0"/>
                <w:sz w:val="24"/>
                <w:szCs w:val="24"/>
                <w:lang w:val="en-US" w:eastAsia="zh-CN"/>
              </w:rPr>
            </w:pPr>
            <w:r>
              <w:rPr>
                <w:rFonts w:hint="eastAsia" w:ascii="楷体" w:hAnsi="楷体" w:eastAsia="楷体" w:cs="楷体"/>
                <w:color w:val="000000"/>
                <w:kern w:val="0"/>
                <w:sz w:val="20"/>
                <w:szCs w:val="20"/>
                <w:lang w:val="en-US" w:eastAsia="zh-CN"/>
              </w:rPr>
              <w:t>现行有效件数</w:t>
            </w:r>
          </w:p>
        </w:tc>
      </w:tr>
      <w:tr>
        <w:tblPrEx>
          <w:tblCellMar>
            <w:top w:w="0" w:type="dxa"/>
            <w:left w:w="0" w:type="dxa"/>
            <w:bottom w:w="0" w:type="dxa"/>
            <w:right w:w="0" w:type="dxa"/>
          </w:tblCellMar>
        </w:tblPrEx>
        <w:trPr>
          <w:trHeight w:val="462" w:hRule="atLeast"/>
          <w:jc w:val="center"/>
        </w:trPr>
        <w:tc>
          <w:tcPr>
            <w:tcW w:w="190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楷体" w:hAnsi="楷体" w:eastAsia="楷体" w:cs="楷体"/>
                <w:kern w:val="0"/>
                <w:sz w:val="24"/>
                <w:szCs w:val="24"/>
              </w:rPr>
            </w:pPr>
            <w:r>
              <w:rPr>
                <w:rFonts w:hint="eastAsia" w:ascii="楷体" w:hAnsi="楷体" w:eastAsia="楷体" w:cs="楷体"/>
                <w:color w:val="000000"/>
                <w:kern w:val="0"/>
                <w:sz w:val="20"/>
                <w:szCs w:val="20"/>
              </w:rPr>
              <w:t>规章</w:t>
            </w:r>
          </w:p>
        </w:tc>
        <w:tc>
          <w:tcPr>
            <w:tcW w:w="1151" w:type="pct"/>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楷体" w:hAnsi="楷体" w:eastAsia="楷体" w:cs="楷体"/>
                <w:kern w:val="0"/>
                <w:sz w:val="24"/>
                <w:szCs w:val="24"/>
                <w:lang w:val="en-US" w:eastAsia="zh-CN"/>
              </w:rPr>
            </w:pPr>
            <w:r>
              <w:rPr>
                <w:rFonts w:hint="eastAsia" w:ascii="楷体" w:hAnsi="楷体" w:eastAsia="楷体" w:cs="楷体"/>
                <w:color w:val="000000"/>
                <w:kern w:val="0"/>
                <w:sz w:val="20"/>
                <w:szCs w:val="20"/>
                <w:lang w:val="en-US" w:eastAsia="zh-CN"/>
              </w:rPr>
              <w:t>0</w:t>
            </w:r>
          </w:p>
        </w:tc>
        <w:tc>
          <w:tcPr>
            <w:tcW w:w="836"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楷体" w:hAnsi="楷体" w:eastAsia="楷体" w:cs="楷体"/>
                <w:kern w:val="0"/>
                <w:sz w:val="24"/>
                <w:szCs w:val="24"/>
                <w:lang w:val="en-US" w:eastAsia="zh-CN"/>
              </w:rPr>
            </w:pPr>
            <w:r>
              <w:rPr>
                <w:rFonts w:hint="eastAsia" w:ascii="楷体" w:hAnsi="楷体" w:eastAsia="楷体" w:cs="楷体"/>
                <w:color w:val="000000"/>
                <w:kern w:val="0"/>
                <w:sz w:val="20"/>
                <w:szCs w:val="20"/>
                <w:lang w:val="en-US" w:eastAsia="zh-CN"/>
              </w:rPr>
              <w:t>0</w:t>
            </w:r>
          </w:p>
        </w:tc>
        <w:tc>
          <w:tcPr>
            <w:tcW w:w="1104" w:type="pct"/>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楷体" w:hAnsi="楷体" w:eastAsia="楷体" w:cs="楷体"/>
                <w:kern w:val="0"/>
                <w:sz w:val="24"/>
                <w:szCs w:val="24"/>
                <w:lang w:val="en-US" w:eastAsia="zh-CN"/>
              </w:rPr>
            </w:pPr>
            <w:r>
              <w:rPr>
                <w:rFonts w:hint="eastAsia" w:ascii="楷体" w:hAnsi="楷体" w:eastAsia="楷体" w:cs="楷体"/>
                <w:color w:val="000000"/>
                <w:kern w:val="0"/>
                <w:sz w:val="20"/>
                <w:szCs w:val="20"/>
                <w:lang w:val="en-US" w:eastAsia="zh-CN"/>
              </w:rPr>
              <w:t>0</w:t>
            </w:r>
          </w:p>
        </w:tc>
      </w:tr>
      <w:tr>
        <w:tblPrEx>
          <w:tblCellMar>
            <w:top w:w="0" w:type="dxa"/>
            <w:left w:w="0" w:type="dxa"/>
            <w:bottom w:w="0" w:type="dxa"/>
            <w:right w:w="0" w:type="dxa"/>
          </w:tblCellMar>
        </w:tblPrEx>
        <w:trPr>
          <w:trHeight w:val="348" w:hRule="atLeast"/>
          <w:jc w:val="center"/>
        </w:trPr>
        <w:tc>
          <w:tcPr>
            <w:tcW w:w="190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楷体" w:hAnsi="楷体" w:eastAsia="楷体" w:cs="楷体"/>
                <w:kern w:val="0"/>
                <w:sz w:val="24"/>
                <w:szCs w:val="24"/>
              </w:rPr>
            </w:pPr>
            <w:r>
              <w:rPr>
                <w:rFonts w:hint="eastAsia" w:ascii="楷体" w:hAnsi="楷体" w:eastAsia="楷体" w:cs="楷体"/>
                <w:color w:val="000000"/>
                <w:kern w:val="0"/>
                <w:sz w:val="20"/>
                <w:szCs w:val="20"/>
              </w:rPr>
              <w:t>规范性文件</w:t>
            </w:r>
          </w:p>
        </w:tc>
        <w:tc>
          <w:tcPr>
            <w:tcW w:w="1151" w:type="pct"/>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楷体" w:hAnsi="楷体" w:eastAsia="楷体" w:cs="楷体"/>
                <w:kern w:val="0"/>
                <w:sz w:val="24"/>
                <w:szCs w:val="24"/>
              </w:rPr>
            </w:pPr>
            <w:r>
              <w:rPr>
                <w:rFonts w:hint="eastAsia" w:ascii="楷体" w:hAnsi="楷体" w:eastAsia="楷体" w:cs="楷体"/>
                <w:color w:val="000000"/>
                <w:kern w:val="0"/>
                <w:sz w:val="20"/>
                <w:szCs w:val="20"/>
                <w:lang w:val="en-US" w:eastAsia="zh-CN"/>
              </w:rPr>
              <w:t>1</w:t>
            </w:r>
          </w:p>
        </w:tc>
        <w:tc>
          <w:tcPr>
            <w:tcW w:w="836" w:type="pc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楷体" w:hAnsi="楷体" w:eastAsia="楷体" w:cs="楷体"/>
                <w:kern w:val="0"/>
                <w:sz w:val="24"/>
                <w:szCs w:val="24"/>
                <w:lang w:val="en-US" w:eastAsia="zh-CN"/>
              </w:rPr>
            </w:pPr>
            <w:r>
              <w:rPr>
                <w:rFonts w:hint="eastAsia" w:ascii="楷体" w:hAnsi="楷体" w:eastAsia="楷体" w:cs="楷体"/>
                <w:color w:val="000000"/>
                <w:kern w:val="0"/>
                <w:sz w:val="20"/>
                <w:szCs w:val="20"/>
                <w:lang w:val="en-US" w:eastAsia="zh-CN"/>
              </w:rPr>
              <w:t>0</w:t>
            </w:r>
          </w:p>
        </w:tc>
        <w:tc>
          <w:tcPr>
            <w:tcW w:w="1104" w:type="pct"/>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楷体" w:hAnsi="楷体" w:eastAsia="楷体" w:cs="楷体"/>
                <w:kern w:val="0"/>
                <w:sz w:val="24"/>
                <w:szCs w:val="24"/>
                <w:lang w:val="en-US" w:eastAsia="zh-CN"/>
              </w:rPr>
            </w:pPr>
            <w:r>
              <w:rPr>
                <w:rFonts w:hint="eastAsia" w:ascii="楷体" w:hAnsi="楷体" w:eastAsia="楷体" w:cs="楷体"/>
                <w:color w:val="000000"/>
                <w:kern w:val="0"/>
                <w:sz w:val="20"/>
                <w:szCs w:val="20"/>
                <w:lang w:val="en-US" w:eastAsia="zh-CN"/>
              </w:rPr>
              <w:t>1</w:t>
            </w:r>
          </w:p>
        </w:tc>
      </w:tr>
      <w:tr>
        <w:tblPrEx>
          <w:tblCellMar>
            <w:top w:w="0" w:type="dxa"/>
            <w:left w:w="0" w:type="dxa"/>
            <w:bottom w:w="0" w:type="dxa"/>
            <w:right w:w="0" w:type="dxa"/>
          </w:tblCellMar>
        </w:tblPrEx>
        <w:trPr>
          <w:trHeight w:val="371"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楷体" w:hAnsi="楷体" w:eastAsia="楷体" w:cs="楷体"/>
                <w:kern w:val="0"/>
                <w:sz w:val="24"/>
                <w:szCs w:val="24"/>
              </w:rPr>
            </w:pPr>
            <w:r>
              <w:rPr>
                <w:rFonts w:hint="eastAsia" w:ascii="楷体" w:hAnsi="楷体" w:eastAsia="楷体" w:cs="楷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190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楷体" w:hAnsi="楷体" w:eastAsia="楷体" w:cs="楷体"/>
                <w:kern w:val="0"/>
                <w:sz w:val="24"/>
                <w:szCs w:val="24"/>
              </w:rPr>
            </w:pPr>
            <w:r>
              <w:rPr>
                <w:rFonts w:hint="eastAsia" w:ascii="楷体" w:hAnsi="楷体" w:eastAsia="楷体" w:cs="楷体"/>
                <w:color w:val="000000"/>
                <w:kern w:val="0"/>
                <w:sz w:val="20"/>
                <w:szCs w:val="20"/>
              </w:rPr>
              <w:t>信息内容</w:t>
            </w:r>
          </w:p>
        </w:tc>
        <w:tc>
          <w:tcPr>
            <w:tcW w:w="3091"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楷体" w:hAnsi="楷体" w:eastAsia="楷体" w:cs="楷体"/>
                <w:kern w:val="0"/>
                <w:sz w:val="24"/>
                <w:szCs w:val="24"/>
                <w:lang w:val="en-US" w:eastAsia="zh-CN"/>
              </w:rPr>
            </w:pPr>
            <w:r>
              <w:rPr>
                <w:rFonts w:hint="eastAsia" w:ascii="楷体" w:hAnsi="楷体" w:eastAsia="楷体" w:cs="楷体"/>
                <w:color w:val="000000"/>
                <w:kern w:val="0"/>
                <w:sz w:val="20"/>
                <w:szCs w:val="20"/>
                <w:lang w:val="en-US" w:eastAsia="zh-CN"/>
              </w:rPr>
              <w:t>本年处理决定数量</w:t>
            </w:r>
          </w:p>
        </w:tc>
      </w:tr>
      <w:tr>
        <w:tblPrEx>
          <w:tblCellMar>
            <w:top w:w="0" w:type="dxa"/>
            <w:left w:w="0" w:type="dxa"/>
            <w:bottom w:w="0" w:type="dxa"/>
            <w:right w:w="0" w:type="dxa"/>
          </w:tblCellMar>
        </w:tblPrEx>
        <w:trPr>
          <w:trHeight w:val="365" w:hRule="atLeast"/>
          <w:jc w:val="center"/>
        </w:trPr>
        <w:tc>
          <w:tcPr>
            <w:tcW w:w="190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楷体" w:hAnsi="楷体" w:eastAsia="楷体" w:cs="楷体"/>
                <w:kern w:val="0"/>
                <w:sz w:val="24"/>
                <w:szCs w:val="24"/>
              </w:rPr>
            </w:pPr>
            <w:r>
              <w:rPr>
                <w:rFonts w:hint="eastAsia" w:ascii="楷体" w:hAnsi="楷体" w:eastAsia="楷体" w:cs="楷体"/>
                <w:color w:val="000000"/>
                <w:kern w:val="0"/>
                <w:sz w:val="20"/>
                <w:szCs w:val="20"/>
              </w:rPr>
              <w:t>行政许可</w:t>
            </w:r>
          </w:p>
        </w:tc>
        <w:tc>
          <w:tcPr>
            <w:tcW w:w="3091"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楷体" w:hAnsi="楷体" w:eastAsia="楷体" w:cs="楷体"/>
                <w:kern w:val="0"/>
                <w:sz w:val="24"/>
                <w:szCs w:val="24"/>
              </w:rPr>
            </w:pPr>
            <w:r>
              <w:rPr>
                <w:rFonts w:hint="eastAsia" w:ascii="楷体" w:hAnsi="楷体" w:eastAsia="楷体" w:cs="楷体"/>
                <w:color w:val="000000"/>
                <w:kern w:val="0"/>
                <w:sz w:val="20"/>
                <w:szCs w:val="20"/>
                <w:lang w:val="en-US" w:eastAsia="zh-CN"/>
              </w:rPr>
              <w:t>0</w:t>
            </w:r>
          </w:p>
        </w:tc>
      </w:tr>
      <w:tr>
        <w:tblPrEx>
          <w:tblCellMar>
            <w:top w:w="0" w:type="dxa"/>
            <w:left w:w="0" w:type="dxa"/>
            <w:bottom w:w="0" w:type="dxa"/>
            <w:right w:w="0" w:type="dxa"/>
          </w:tblCellMar>
        </w:tblPrEx>
        <w:trPr>
          <w:trHeight w:val="283"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楷体" w:hAnsi="楷体" w:eastAsia="楷体" w:cs="楷体"/>
                <w:kern w:val="0"/>
                <w:sz w:val="24"/>
                <w:szCs w:val="24"/>
              </w:rPr>
            </w:pPr>
            <w:r>
              <w:rPr>
                <w:rFonts w:hint="eastAsia" w:ascii="楷体" w:hAnsi="楷体" w:eastAsia="楷体" w:cs="楷体"/>
                <w:color w:val="000000"/>
                <w:kern w:val="0"/>
                <w:sz w:val="20"/>
                <w:szCs w:val="20"/>
              </w:rPr>
              <w:t>第二十条第（六）项</w:t>
            </w:r>
          </w:p>
        </w:tc>
      </w:tr>
      <w:tr>
        <w:tblPrEx>
          <w:tblCellMar>
            <w:top w:w="0" w:type="dxa"/>
            <w:left w:w="0" w:type="dxa"/>
            <w:bottom w:w="0" w:type="dxa"/>
            <w:right w:w="0" w:type="dxa"/>
          </w:tblCellMar>
        </w:tblPrEx>
        <w:trPr>
          <w:trHeight w:val="511" w:hRule="atLeast"/>
          <w:jc w:val="center"/>
        </w:trPr>
        <w:tc>
          <w:tcPr>
            <w:tcW w:w="190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楷体" w:hAnsi="楷体" w:eastAsia="楷体" w:cs="楷体"/>
                <w:kern w:val="0"/>
                <w:sz w:val="24"/>
                <w:szCs w:val="24"/>
              </w:rPr>
            </w:pPr>
            <w:r>
              <w:rPr>
                <w:rFonts w:hint="eastAsia" w:ascii="楷体" w:hAnsi="楷体" w:eastAsia="楷体" w:cs="楷体"/>
                <w:color w:val="000000"/>
                <w:kern w:val="0"/>
                <w:sz w:val="20"/>
                <w:szCs w:val="20"/>
              </w:rPr>
              <w:t>信息内容</w:t>
            </w:r>
          </w:p>
        </w:tc>
        <w:tc>
          <w:tcPr>
            <w:tcW w:w="3091" w:type="pct"/>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楷体" w:hAnsi="楷体" w:eastAsia="楷体" w:cs="楷体"/>
                <w:kern w:val="0"/>
                <w:sz w:val="24"/>
                <w:szCs w:val="24"/>
                <w:lang w:val="en-US" w:eastAsia="zh-CN"/>
              </w:rPr>
            </w:pPr>
            <w:r>
              <w:rPr>
                <w:rFonts w:hint="eastAsia" w:ascii="楷体" w:hAnsi="楷体" w:eastAsia="楷体" w:cs="楷体"/>
                <w:color w:val="000000"/>
                <w:kern w:val="0"/>
                <w:sz w:val="20"/>
                <w:szCs w:val="20"/>
                <w:lang w:val="en-US" w:eastAsia="zh-CN"/>
              </w:rPr>
              <w:t>本年处理决定数量</w:t>
            </w:r>
          </w:p>
        </w:tc>
      </w:tr>
      <w:tr>
        <w:tblPrEx>
          <w:tblCellMar>
            <w:top w:w="0" w:type="dxa"/>
            <w:left w:w="0" w:type="dxa"/>
            <w:bottom w:w="0" w:type="dxa"/>
            <w:right w:w="0" w:type="dxa"/>
          </w:tblCellMar>
        </w:tblPrEx>
        <w:trPr>
          <w:trHeight w:val="335" w:hRule="atLeast"/>
          <w:jc w:val="center"/>
        </w:trPr>
        <w:tc>
          <w:tcPr>
            <w:tcW w:w="190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楷体" w:hAnsi="楷体" w:eastAsia="楷体" w:cs="楷体"/>
                <w:kern w:val="0"/>
                <w:sz w:val="24"/>
                <w:szCs w:val="24"/>
              </w:rPr>
            </w:pPr>
            <w:r>
              <w:rPr>
                <w:rFonts w:hint="eastAsia" w:ascii="楷体" w:hAnsi="楷体" w:eastAsia="楷体" w:cs="楷体"/>
                <w:color w:val="000000"/>
                <w:kern w:val="0"/>
                <w:sz w:val="20"/>
                <w:szCs w:val="20"/>
              </w:rPr>
              <w:t>行政处罚</w:t>
            </w:r>
          </w:p>
        </w:tc>
        <w:tc>
          <w:tcPr>
            <w:tcW w:w="3091"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楷体" w:hAnsi="楷体" w:eastAsia="楷体" w:cs="楷体"/>
                <w:kern w:val="0"/>
                <w:sz w:val="24"/>
                <w:szCs w:val="24"/>
                <w:lang w:val="en-US" w:eastAsia="zh-CN"/>
              </w:rPr>
            </w:pPr>
            <w:r>
              <w:rPr>
                <w:rFonts w:hint="eastAsia" w:ascii="楷体" w:hAnsi="楷体" w:eastAsia="楷体" w:cs="楷体"/>
                <w:color w:val="000000"/>
                <w:kern w:val="0"/>
                <w:sz w:val="20"/>
                <w:szCs w:val="20"/>
                <w:lang w:val="en-US" w:eastAsia="zh-CN"/>
              </w:rPr>
              <w:t>3</w:t>
            </w:r>
          </w:p>
        </w:tc>
      </w:tr>
      <w:tr>
        <w:tblPrEx>
          <w:tblCellMar>
            <w:top w:w="0" w:type="dxa"/>
            <w:left w:w="0" w:type="dxa"/>
            <w:bottom w:w="0" w:type="dxa"/>
            <w:right w:w="0" w:type="dxa"/>
          </w:tblCellMar>
        </w:tblPrEx>
        <w:trPr>
          <w:trHeight w:val="314" w:hRule="atLeast"/>
          <w:jc w:val="center"/>
        </w:trPr>
        <w:tc>
          <w:tcPr>
            <w:tcW w:w="190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楷体" w:hAnsi="楷体" w:eastAsia="楷体" w:cs="楷体"/>
                <w:kern w:val="0"/>
                <w:sz w:val="24"/>
                <w:szCs w:val="24"/>
              </w:rPr>
            </w:pPr>
            <w:r>
              <w:rPr>
                <w:rFonts w:hint="eastAsia" w:ascii="楷体" w:hAnsi="楷体" w:eastAsia="楷体" w:cs="楷体"/>
                <w:color w:val="000000"/>
                <w:kern w:val="0"/>
                <w:sz w:val="20"/>
                <w:szCs w:val="20"/>
              </w:rPr>
              <w:t>行政强制</w:t>
            </w:r>
          </w:p>
        </w:tc>
        <w:tc>
          <w:tcPr>
            <w:tcW w:w="3091" w:type="pct"/>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楷体" w:hAnsi="楷体" w:eastAsia="楷体" w:cs="楷体"/>
                <w:kern w:val="0"/>
                <w:sz w:val="24"/>
                <w:szCs w:val="24"/>
                <w:lang w:val="en-US" w:eastAsia="zh-CN"/>
              </w:rPr>
            </w:pPr>
            <w:r>
              <w:rPr>
                <w:rFonts w:hint="eastAsia" w:ascii="楷体" w:hAnsi="楷体" w:eastAsia="楷体" w:cs="楷体"/>
                <w:color w:val="000000"/>
                <w:kern w:val="0"/>
                <w:sz w:val="20"/>
                <w:szCs w:val="20"/>
                <w:lang w:val="en-US" w:eastAsia="zh-CN"/>
              </w:rPr>
              <w:t>0</w:t>
            </w:r>
          </w:p>
        </w:tc>
      </w:tr>
      <w:tr>
        <w:tblPrEx>
          <w:tblCellMar>
            <w:top w:w="0" w:type="dxa"/>
            <w:left w:w="0" w:type="dxa"/>
            <w:bottom w:w="0" w:type="dxa"/>
            <w:right w:w="0" w:type="dxa"/>
          </w:tblCellMar>
        </w:tblPrEx>
        <w:trPr>
          <w:trHeight w:val="392"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楷体" w:hAnsi="楷体" w:eastAsia="楷体" w:cs="楷体"/>
                <w:kern w:val="0"/>
                <w:sz w:val="24"/>
                <w:szCs w:val="24"/>
              </w:rPr>
            </w:pPr>
            <w:r>
              <w:rPr>
                <w:rFonts w:hint="eastAsia" w:ascii="楷体" w:hAnsi="楷体" w:eastAsia="楷体" w:cs="楷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190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楷体" w:hAnsi="楷体" w:eastAsia="楷体" w:cs="楷体"/>
                <w:kern w:val="0"/>
                <w:sz w:val="24"/>
                <w:szCs w:val="24"/>
              </w:rPr>
            </w:pPr>
            <w:r>
              <w:rPr>
                <w:rFonts w:hint="eastAsia" w:ascii="楷体" w:hAnsi="楷体" w:eastAsia="楷体" w:cs="楷体"/>
                <w:color w:val="000000"/>
                <w:kern w:val="0"/>
                <w:sz w:val="20"/>
                <w:szCs w:val="20"/>
              </w:rPr>
              <w:t>信息内容</w:t>
            </w:r>
          </w:p>
        </w:tc>
        <w:tc>
          <w:tcPr>
            <w:tcW w:w="3091" w:type="pct"/>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楷体" w:hAnsi="楷体" w:eastAsia="楷体" w:cs="楷体"/>
                <w:kern w:val="0"/>
                <w:sz w:val="24"/>
                <w:szCs w:val="24"/>
                <w:lang w:val="en-US" w:eastAsia="zh-CN"/>
              </w:rPr>
            </w:pPr>
            <w:r>
              <w:rPr>
                <w:rFonts w:hint="eastAsia" w:ascii="楷体" w:hAnsi="楷体" w:eastAsia="楷体" w:cs="楷体"/>
                <w:color w:val="000000"/>
                <w:kern w:val="0"/>
                <w:sz w:val="20"/>
                <w:szCs w:val="20"/>
                <w:lang w:val="en-US" w:eastAsia="zh-CN"/>
              </w:rPr>
              <w:t>本年收费金额（单位：万元）</w:t>
            </w:r>
          </w:p>
        </w:tc>
      </w:tr>
      <w:tr>
        <w:tblPrEx>
          <w:tblCellMar>
            <w:top w:w="0" w:type="dxa"/>
            <w:left w:w="0" w:type="dxa"/>
            <w:bottom w:w="0" w:type="dxa"/>
            <w:right w:w="0" w:type="dxa"/>
          </w:tblCellMar>
        </w:tblPrEx>
        <w:trPr>
          <w:trHeight w:val="319" w:hRule="atLeast"/>
          <w:jc w:val="center"/>
        </w:trPr>
        <w:tc>
          <w:tcPr>
            <w:tcW w:w="1908"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楷体" w:hAnsi="楷体" w:eastAsia="楷体" w:cs="楷体"/>
                <w:kern w:val="0"/>
                <w:sz w:val="24"/>
                <w:szCs w:val="24"/>
              </w:rPr>
            </w:pPr>
            <w:r>
              <w:rPr>
                <w:rFonts w:hint="eastAsia" w:ascii="楷体" w:hAnsi="楷体" w:eastAsia="楷体" w:cs="楷体"/>
                <w:color w:val="000000"/>
                <w:kern w:val="0"/>
                <w:sz w:val="20"/>
                <w:szCs w:val="20"/>
              </w:rPr>
              <w:t>行政事业性收费</w:t>
            </w:r>
          </w:p>
        </w:tc>
        <w:tc>
          <w:tcPr>
            <w:tcW w:w="3091" w:type="pct"/>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楷体" w:hAnsi="楷体" w:eastAsia="楷体" w:cs="楷体"/>
                <w:color w:val="000000"/>
                <w:kern w:val="0"/>
                <w:sz w:val="20"/>
                <w:szCs w:val="20"/>
                <w:lang w:val="en-US" w:eastAsia="zh-CN"/>
              </w:rPr>
            </w:pPr>
            <w:r>
              <w:rPr>
                <w:rFonts w:hint="eastAsia" w:ascii="楷体" w:hAnsi="楷体" w:eastAsia="楷体" w:cs="楷体"/>
                <w:color w:val="000000"/>
                <w:kern w:val="0"/>
                <w:sz w:val="20"/>
                <w:szCs w:val="20"/>
                <w:lang w:val="en-US" w:eastAsia="zh-CN"/>
              </w:rPr>
              <w:t>0</w:t>
            </w:r>
          </w:p>
        </w:tc>
      </w:tr>
    </w:tbl>
    <w:p>
      <w:pPr>
        <w:keepNext w:val="0"/>
        <w:keepLines w:val="0"/>
        <w:pageBreakBefore w:val="0"/>
        <w:widowControl/>
        <w:numPr>
          <w:ilvl w:val="0"/>
          <w:numId w:val="1"/>
        </w:numPr>
        <w:kinsoku/>
        <w:wordWrap/>
        <w:overflowPunct/>
        <w:topLinePunct w:val="0"/>
        <w:autoSpaceDE/>
        <w:autoSpaceDN/>
        <w:bidi w:val="0"/>
        <w:adjustRightInd/>
        <w:snapToGrid/>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收到和处理政府信息公开申请情况</w:t>
      </w:r>
    </w:p>
    <w:tbl>
      <w:tblPr>
        <w:tblStyle w:val="5"/>
        <w:tblW w:w="9135" w:type="dxa"/>
        <w:jc w:val="center"/>
        <w:tblLayout w:type="autofit"/>
        <w:tblCellMar>
          <w:top w:w="0" w:type="dxa"/>
          <w:left w:w="0" w:type="dxa"/>
          <w:bottom w:w="0" w:type="dxa"/>
          <w:right w:w="0" w:type="dxa"/>
        </w:tblCellMar>
      </w:tblPr>
      <w:tblGrid>
        <w:gridCol w:w="622"/>
        <w:gridCol w:w="822"/>
        <w:gridCol w:w="2261"/>
        <w:gridCol w:w="727"/>
        <w:gridCol w:w="756"/>
        <w:gridCol w:w="756"/>
        <w:gridCol w:w="881"/>
        <w:gridCol w:w="903"/>
        <w:gridCol w:w="712"/>
        <w:gridCol w:w="695"/>
      </w:tblGrid>
      <w:tr>
        <w:tblPrEx>
          <w:tblCellMar>
            <w:top w:w="0" w:type="dxa"/>
            <w:left w:w="0" w:type="dxa"/>
            <w:bottom w:w="0" w:type="dxa"/>
            <w:right w:w="0" w:type="dxa"/>
          </w:tblCellMar>
        </w:tblPrEx>
        <w:trPr>
          <w:trHeight w:val="346" w:hRule="atLeast"/>
          <w:jc w:val="center"/>
        </w:trPr>
        <w:tc>
          <w:tcPr>
            <w:tcW w:w="3705"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（本列数据的勾稽关系为：第一项加第二项之和，等于第三项加第四项之和）</w:t>
            </w:r>
          </w:p>
        </w:tc>
        <w:tc>
          <w:tcPr>
            <w:tcW w:w="5430"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申请人情况</w:t>
            </w:r>
          </w:p>
        </w:tc>
      </w:tr>
      <w:tr>
        <w:tblPrEx>
          <w:tblCellMar>
            <w:top w:w="0" w:type="dxa"/>
            <w:left w:w="0" w:type="dxa"/>
            <w:bottom w:w="0" w:type="dxa"/>
            <w:right w:w="0" w:type="dxa"/>
          </w:tblCellMar>
        </w:tblPrEx>
        <w:trPr>
          <w:trHeight w:val="363"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72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自然人</w:t>
            </w:r>
          </w:p>
        </w:tc>
        <w:tc>
          <w:tcPr>
            <w:tcW w:w="400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法人或其他组织</w:t>
            </w:r>
          </w:p>
        </w:tc>
        <w:tc>
          <w:tcPr>
            <w:tcW w:w="69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总计</w:t>
            </w:r>
          </w:p>
        </w:tc>
      </w:tr>
      <w:tr>
        <w:tblPrEx>
          <w:tblCellMar>
            <w:top w:w="0" w:type="dxa"/>
            <w:left w:w="0" w:type="dxa"/>
            <w:bottom w:w="0" w:type="dxa"/>
            <w:right w:w="0" w:type="dxa"/>
          </w:tblCellMar>
        </w:tblPrEx>
        <w:trPr>
          <w:trHeight w:val="695"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727"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商业企业</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科研机构</w:t>
            </w:r>
          </w:p>
        </w:tc>
        <w:tc>
          <w:tcPr>
            <w:tcW w:w="8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社会公益组织</w:t>
            </w:r>
          </w:p>
        </w:tc>
        <w:tc>
          <w:tcPr>
            <w:tcW w:w="9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法律服务机构</w:t>
            </w:r>
          </w:p>
        </w:tc>
        <w:tc>
          <w:tcPr>
            <w:tcW w:w="7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一、本年新收政府信息公开申请数量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rPr>
            </w:pPr>
            <w:r>
              <w:rPr>
                <w:rFonts w:hint="eastAsia" w:ascii="Times New Roman" w:hAnsi="Times New Roman" w:eastAsia="楷体" w:cs="Times New Roman"/>
                <w:kern w:val="0"/>
                <w:sz w:val="20"/>
                <w:szCs w:val="20"/>
                <w:lang w:val="en-US" w:eastAsia="zh-CN"/>
              </w:rPr>
              <w:t>15</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eastAsia" w:ascii="Times New Roman" w:hAnsi="Times New Roman" w:eastAsia="楷体" w:cs="Times New Roman"/>
                <w:kern w:val="0"/>
                <w:sz w:val="20"/>
                <w:szCs w:val="20"/>
                <w:lang w:val="en-US" w:eastAsia="zh-CN"/>
              </w:rPr>
              <w:t>15</w:t>
            </w: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二、上年结转政府信息公开申请数量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62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三、本年度办理结果</w:t>
            </w: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（一）予以公开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710"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（二）部分公开（区分处理的，只计这一情形，不计其他情形）</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（三）不予公开</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1.属于国家秘密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695"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2.其他法律行政法规禁止公开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3.危及“三安全一稳定”</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2261"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4.保护第三方合法权益</w:t>
            </w:r>
          </w:p>
        </w:tc>
        <w:tc>
          <w:tcPr>
            <w:tcW w:w="727"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695"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695"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continue"/>
            <w:tcBorders>
              <w:top w:val="nil"/>
              <w:left w:val="nil"/>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226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5.属于三类内部事务信息</w:t>
            </w:r>
          </w:p>
        </w:tc>
        <w:tc>
          <w:tcPr>
            <w:tcW w:w="7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9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226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6.属于四类过程性信息</w:t>
            </w:r>
          </w:p>
        </w:tc>
        <w:tc>
          <w:tcPr>
            <w:tcW w:w="72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88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90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1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69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7.属于行政执法案卷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8.属于行政查询事项</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710"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（四）无法提供</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1.本机关不掌握相关政府信息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eastAsia" w:ascii="Times New Roman" w:hAnsi="Times New Roman" w:eastAsia="楷体" w:cs="Times New Roman"/>
                <w:kern w:val="0"/>
                <w:sz w:val="20"/>
                <w:szCs w:val="20"/>
                <w:lang w:val="en-US" w:eastAsia="zh-CN"/>
              </w:rPr>
              <w:t>4</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eastAsia" w:ascii="Times New Roman" w:hAnsi="Times New Roman" w:eastAsia="楷体" w:cs="Times New Roman"/>
                <w:kern w:val="0"/>
                <w:sz w:val="20"/>
                <w:szCs w:val="20"/>
                <w:lang w:val="en-US" w:eastAsia="zh-CN"/>
              </w:rPr>
              <w:t>4</w:t>
            </w:r>
          </w:p>
        </w:tc>
      </w:tr>
      <w:tr>
        <w:tblPrEx>
          <w:tblCellMar>
            <w:top w:w="0" w:type="dxa"/>
            <w:left w:w="0" w:type="dxa"/>
            <w:bottom w:w="0" w:type="dxa"/>
            <w:right w:w="0" w:type="dxa"/>
          </w:tblCellMar>
        </w:tblPrEx>
        <w:trPr>
          <w:trHeight w:val="695"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2.没有现成信息需要另行制作</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710"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3.补正后申请内容仍不明确</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（五）不予处理</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1.信访举报投诉类申请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eastAsia" w:ascii="Times New Roman" w:hAnsi="Times New Roman" w:eastAsia="楷体" w:cs="Times New Roman"/>
                <w:kern w:val="0"/>
                <w:sz w:val="20"/>
                <w:szCs w:val="20"/>
                <w:lang w:val="en-US" w:eastAsia="zh-CN"/>
              </w:rPr>
              <w:t>1</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eastAsia" w:ascii="Times New Roman" w:hAnsi="Times New Roman" w:eastAsia="楷体" w:cs="Times New Roman"/>
                <w:kern w:val="0"/>
                <w:sz w:val="20"/>
                <w:szCs w:val="20"/>
                <w:lang w:val="en-US" w:eastAsia="zh-CN"/>
              </w:rPr>
              <w:t>1</w:t>
            </w:r>
          </w:p>
        </w:tc>
      </w:tr>
      <w:tr>
        <w:tblPrEx>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2.重复申请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3.要求提供公开出版物</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710"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4.无正当理由大量反复申请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695"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5.要求行政机关确认或重新出具已获取信息</w:t>
            </w:r>
          </w:p>
        </w:tc>
        <w:tc>
          <w:tcPr>
            <w:tcW w:w="727"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56"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881"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903"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712"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c>
          <w:tcPr>
            <w:tcW w:w="695" w:type="dxa"/>
            <w:tcBorders>
              <w:top w:val="nil"/>
              <w:left w:val="nil"/>
              <w:bottom w:val="single" w:color="auto" w:sz="4"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bidi="ar-SA"/>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121"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822" w:type="dxa"/>
            <w:vMerge w:val="restart"/>
            <w:tcBorders>
              <w:top w:val="nil"/>
              <w:left w:val="nil"/>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（六）其他处理</w:t>
            </w:r>
          </w:p>
        </w:tc>
        <w:tc>
          <w:tcPr>
            <w:tcW w:w="2261" w:type="dxa"/>
            <w:tcBorders>
              <w:top w:val="nil"/>
              <w:left w:val="nil"/>
              <w:bottom w:val="single" w:color="auto" w:sz="8"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1.申请人无正当理由逾期不补正、行政机关不再处理其政府信息公开申请</w:t>
            </w:r>
          </w:p>
        </w:tc>
        <w:tc>
          <w:tcPr>
            <w:tcW w:w="7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0"/>
                <w:szCs w:val="20"/>
                <w:lang w:val="en-US" w:eastAsia="zh-CN"/>
              </w:rPr>
              <w:t>0</w:t>
            </w:r>
          </w:p>
        </w:tc>
        <w:tc>
          <w:tcPr>
            <w:tcW w:w="7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0"/>
                <w:szCs w:val="20"/>
                <w:lang w:val="en-US" w:eastAsia="zh-CN"/>
              </w:rPr>
              <w:t>0</w:t>
            </w:r>
          </w:p>
        </w:tc>
        <w:tc>
          <w:tcPr>
            <w:tcW w:w="7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9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121"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pPr>
          </w:p>
        </w:tc>
        <w:tc>
          <w:tcPr>
            <w:tcW w:w="822" w:type="dxa"/>
            <w:vMerge w:val="continue"/>
            <w:tcBorders>
              <w:left w:val="nil"/>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pPr>
          </w:p>
        </w:tc>
        <w:tc>
          <w:tcPr>
            <w:tcW w:w="2261" w:type="dxa"/>
            <w:tcBorders>
              <w:top w:val="nil"/>
              <w:left w:val="nil"/>
              <w:bottom w:val="single" w:color="auto" w:sz="8"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2.申请人逾期未按收费通知要求缴纳费用、行政机关不再处理其政府信息公开申请</w:t>
            </w:r>
          </w:p>
        </w:tc>
        <w:tc>
          <w:tcPr>
            <w:tcW w:w="7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0</w:t>
            </w:r>
          </w:p>
        </w:tc>
        <w:tc>
          <w:tcPr>
            <w:tcW w:w="7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0</w:t>
            </w:r>
          </w:p>
        </w:tc>
        <w:tc>
          <w:tcPr>
            <w:tcW w:w="7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0</w:t>
            </w:r>
          </w:p>
        </w:tc>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0</w:t>
            </w:r>
          </w:p>
        </w:tc>
        <w:tc>
          <w:tcPr>
            <w:tcW w:w="9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0</w:t>
            </w:r>
          </w:p>
        </w:tc>
        <w:tc>
          <w:tcPr>
            <w:tcW w:w="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121" w:hRule="atLeast"/>
          <w:jc w:val="center"/>
        </w:trPr>
        <w:tc>
          <w:tcPr>
            <w:tcW w:w="622" w:type="dxa"/>
            <w:vMerge w:val="continue"/>
            <w:tcBorders>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0"/>
                <w:szCs w:val="20"/>
              </w:rPr>
            </w:pPr>
          </w:p>
        </w:tc>
        <w:tc>
          <w:tcPr>
            <w:tcW w:w="822"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0"/>
                <w:szCs w:val="20"/>
              </w:rPr>
            </w:pPr>
          </w:p>
        </w:tc>
        <w:tc>
          <w:tcPr>
            <w:tcW w:w="2261" w:type="dxa"/>
            <w:tcBorders>
              <w:top w:val="nil"/>
              <w:left w:val="nil"/>
              <w:bottom w:val="single" w:color="auto" w:sz="8"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3.其他</w:t>
            </w:r>
          </w:p>
        </w:tc>
        <w:tc>
          <w:tcPr>
            <w:tcW w:w="7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0</w:t>
            </w:r>
          </w:p>
        </w:tc>
        <w:tc>
          <w:tcPr>
            <w:tcW w:w="7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0</w:t>
            </w:r>
          </w:p>
        </w:tc>
        <w:tc>
          <w:tcPr>
            <w:tcW w:w="7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0</w:t>
            </w:r>
          </w:p>
        </w:tc>
        <w:tc>
          <w:tcPr>
            <w:tcW w:w="8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0</w:t>
            </w:r>
          </w:p>
        </w:tc>
        <w:tc>
          <w:tcPr>
            <w:tcW w:w="90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0</w:t>
            </w:r>
          </w:p>
        </w:tc>
        <w:tc>
          <w:tcPr>
            <w:tcW w:w="7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0</w:t>
            </w:r>
          </w:p>
        </w:tc>
        <w:tc>
          <w:tcPr>
            <w:tcW w:w="6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楷体" w:cs="Times New Roman"/>
                <w:kern w:val="0"/>
                <w:sz w:val="20"/>
                <w:szCs w:val="20"/>
                <w:lang w:val="en-US" w:eastAsia="zh-CN"/>
              </w:rPr>
            </w:pPr>
            <w:r>
              <w:rPr>
                <w:rFonts w:hint="eastAsia" w:ascii="Times New Roman" w:hAnsi="Times New Roman" w:eastAsia="楷体" w:cs="Times New Roman"/>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（七）总计</w:t>
            </w:r>
          </w:p>
        </w:tc>
        <w:tc>
          <w:tcPr>
            <w:tcW w:w="72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eastAsia" w:ascii="Times New Roman" w:hAnsi="Times New Roman" w:eastAsia="楷体" w:cs="Times New Roman"/>
                <w:kern w:val="0"/>
                <w:sz w:val="24"/>
                <w:szCs w:val="24"/>
                <w:lang w:val="en-US" w:eastAsia="zh-CN"/>
              </w:rPr>
              <w:t>20</w:t>
            </w:r>
          </w:p>
        </w:tc>
        <w:tc>
          <w:tcPr>
            <w:tcW w:w="75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75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88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90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0"/>
                <w:szCs w:val="20"/>
                <w:lang w:val="en-US" w:eastAsia="zh-CN"/>
              </w:rPr>
              <w:t>0</w:t>
            </w:r>
          </w:p>
        </w:tc>
        <w:tc>
          <w:tcPr>
            <w:tcW w:w="71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lang w:val="en-US" w:eastAsia="zh-CN"/>
              </w:rPr>
              <w:t>0</w:t>
            </w:r>
          </w:p>
        </w:tc>
        <w:tc>
          <w:tcPr>
            <w:tcW w:w="69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eastAsia" w:ascii="Times New Roman" w:hAnsi="Times New Roman" w:eastAsia="楷体" w:cs="Times New Roman"/>
                <w:kern w:val="0"/>
                <w:sz w:val="24"/>
                <w:szCs w:val="24"/>
                <w:lang w:val="en-US" w:eastAsia="zh-CN"/>
              </w:rPr>
              <w:t>20</w:t>
            </w:r>
          </w:p>
        </w:tc>
      </w:tr>
      <w:tr>
        <w:tblPrEx>
          <w:tblCellMar>
            <w:top w:w="0" w:type="dxa"/>
            <w:left w:w="0" w:type="dxa"/>
            <w:bottom w:w="0" w:type="dxa"/>
            <w:right w:w="0" w:type="dxa"/>
          </w:tblCellMar>
        </w:tblPrEx>
        <w:trPr>
          <w:trHeight w:val="485"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color w:val="000000"/>
                <w:kern w:val="0"/>
                <w:sz w:val="20"/>
                <w:szCs w:val="20"/>
              </w:rPr>
            </w:pPr>
            <w:r>
              <w:rPr>
                <w:rFonts w:hint="default" w:ascii="Times New Roman" w:hAnsi="Times New Roman" w:eastAsia="楷体" w:cs="Times New Roman"/>
                <w:color w:val="000000"/>
                <w:kern w:val="0"/>
                <w:sz w:val="20"/>
                <w:szCs w:val="20"/>
              </w:rPr>
              <w:t>四、结转下年度继续办理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color w:val="000000"/>
                <w:kern w:val="0"/>
                <w:sz w:val="20"/>
                <w:szCs w:val="20"/>
                <w:lang w:val="en-US" w:eastAsia="zh-CN"/>
              </w:rPr>
            </w:pPr>
            <w:r>
              <w:rPr>
                <w:rFonts w:hint="eastAsia" w:ascii="Times New Roman" w:hAnsi="Times New Roman" w:eastAsia="楷体" w:cs="Times New Roman"/>
                <w:color w:val="000000"/>
                <w:kern w:val="0"/>
                <w:sz w:val="20"/>
                <w:szCs w:val="20"/>
                <w:lang w:val="en-US" w:eastAsia="zh-CN"/>
              </w:rPr>
              <w:t>1</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color w:val="000000"/>
                <w:kern w:val="0"/>
                <w:sz w:val="20"/>
                <w:szCs w:val="20"/>
                <w:lang w:val="en-US" w:eastAsia="zh-CN"/>
              </w:rPr>
            </w:pPr>
            <w:r>
              <w:rPr>
                <w:rFonts w:hint="default" w:ascii="Times New Roman" w:hAnsi="Times New Roman" w:eastAsia="楷体" w:cs="Times New Roman"/>
                <w:color w:val="000000"/>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color w:val="000000"/>
                <w:kern w:val="0"/>
                <w:sz w:val="20"/>
                <w:szCs w:val="20"/>
                <w:lang w:val="en-US" w:eastAsia="zh-CN"/>
              </w:rPr>
            </w:pPr>
            <w:r>
              <w:rPr>
                <w:rFonts w:hint="default" w:ascii="Times New Roman" w:hAnsi="Times New Roman" w:eastAsia="楷体" w:cs="Times New Roman"/>
                <w:color w:val="000000"/>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color w:val="000000"/>
                <w:kern w:val="0"/>
                <w:sz w:val="20"/>
                <w:szCs w:val="20"/>
                <w:lang w:val="en-US" w:eastAsia="zh-CN"/>
              </w:rPr>
            </w:pPr>
            <w:r>
              <w:rPr>
                <w:rFonts w:hint="default" w:ascii="Times New Roman" w:hAnsi="Times New Roman" w:eastAsia="楷体" w:cs="Times New Roman"/>
                <w:color w:val="000000"/>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color w:val="000000"/>
                <w:kern w:val="0"/>
                <w:sz w:val="20"/>
                <w:szCs w:val="20"/>
                <w:lang w:val="en-US" w:eastAsia="zh-CN"/>
              </w:rPr>
            </w:pPr>
            <w:r>
              <w:rPr>
                <w:rFonts w:hint="default" w:ascii="Times New Roman" w:hAnsi="Times New Roman" w:eastAsia="楷体" w:cs="Times New Roman"/>
                <w:color w:val="000000"/>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color w:val="000000"/>
                <w:kern w:val="0"/>
                <w:sz w:val="20"/>
                <w:szCs w:val="20"/>
                <w:lang w:val="en-US" w:eastAsia="zh-CN"/>
              </w:rPr>
            </w:pPr>
            <w:r>
              <w:rPr>
                <w:rFonts w:hint="default" w:ascii="Times New Roman" w:hAnsi="Times New Roman" w:eastAsia="楷体" w:cs="Times New Roman"/>
                <w:color w:val="000000"/>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color w:val="000000"/>
                <w:kern w:val="0"/>
                <w:sz w:val="20"/>
                <w:szCs w:val="20"/>
                <w:lang w:val="en-US" w:eastAsia="zh-CN"/>
              </w:rPr>
            </w:pPr>
            <w:r>
              <w:rPr>
                <w:rFonts w:hint="eastAsia" w:ascii="Times New Roman" w:hAnsi="Times New Roman" w:eastAsia="楷体" w:cs="Times New Roman"/>
                <w:color w:val="000000"/>
                <w:kern w:val="0"/>
                <w:sz w:val="20"/>
                <w:szCs w:val="20"/>
                <w:lang w:val="en-US" w:eastAsia="zh-CN"/>
              </w:rPr>
              <w:t>1</w:t>
            </w:r>
          </w:p>
        </w:tc>
      </w:tr>
    </w:tbl>
    <w:p>
      <w:pPr>
        <w:keepNext w:val="0"/>
        <w:keepLines w:val="0"/>
        <w:pageBreakBefore w:val="0"/>
        <w:widowControl/>
        <w:numPr>
          <w:ilvl w:val="0"/>
          <w:numId w:val="1"/>
        </w:numPr>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政府信息公开行政复议、行政诉讼情况</w: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default" w:ascii="Times New Roman" w:hAnsi="Times New Roman" w:eastAsia="黑体" w:cs="Times New Roman"/>
          <w:color w:val="000000"/>
          <w:ker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rPr>
          <w:rFonts w:hint="default" w:ascii="Times New Roman" w:hAnsi="Times New Roman" w:eastAsia="黑体" w:cs="Times New Roman"/>
          <w:color w:val="000000"/>
          <w:kern w:val="0"/>
          <w:sz w:val="32"/>
          <w:szCs w:val="32"/>
        </w:rPr>
      </w:pP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复议后起诉</w:t>
            </w:r>
          </w:p>
        </w:tc>
      </w:tr>
      <w:tr>
        <w:tblPrEx>
          <w:tblCellMar>
            <w:top w:w="0" w:type="dxa"/>
            <w:left w:w="0" w:type="dxa"/>
            <w:bottom w:w="0" w:type="dxa"/>
            <w:right w:w="0" w:type="dxa"/>
          </w:tblCellMar>
        </w:tblPrEx>
        <w:trPr>
          <w:trHeight w:val="93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楷体" w:cs="Times New Roman"/>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rPr>
            </w:pPr>
            <w:r>
              <w:rPr>
                <w:rFonts w:hint="default" w:ascii="Times New Roman" w:hAnsi="Times New Roman" w:eastAsia="楷体" w:cs="Times New Roman"/>
                <w:color w:val="000000"/>
                <w:kern w:val="0"/>
                <w:sz w:val="20"/>
                <w:szCs w:val="20"/>
              </w:rPr>
              <w:t>总计</w:t>
            </w:r>
          </w:p>
        </w:tc>
      </w:tr>
      <w:tr>
        <w:tblPrEx>
          <w:tblCellMar>
            <w:top w:w="0" w:type="dxa"/>
            <w:left w:w="0" w:type="dxa"/>
            <w:bottom w:w="0" w:type="dxa"/>
            <w:right w:w="0" w:type="dxa"/>
          </w:tblCellMar>
        </w:tblPrEx>
        <w:trPr>
          <w:trHeight w:val="94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eastAsia" w:ascii="Times New Roman" w:hAnsi="Times New Roman" w:eastAsia="楷体" w:cs="Times New Roman"/>
                <w:kern w:val="0"/>
                <w:sz w:val="24"/>
                <w:szCs w:val="24"/>
                <w:lang w:val="en-US" w:eastAsia="zh-CN"/>
              </w:rPr>
              <w:t>1</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eastAsia" w:ascii="Times New Roman" w:hAnsi="Times New Roman" w:eastAsia="楷体" w:cs="Times New Roman"/>
                <w:kern w:val="0"/>
                <w:sz w:val="24"/>
                <w:szCs w:val="24"/>
                <w:lang w:val="en-US" w:eastAsia="zh-CN"/>
              </w:rPr>
              <w:t>1</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楷体" w:cs="Times New Roman"/>
                <w:kern w:val="0"/>
                <w:sz w:val="24"/>
                <w:szCs w:val="24"/>
                <w:lang w:val="en-US" w:eastAsia="zh-CN"/>
              </w:rPr>
            </w:pPr>
            <w:r>
              <w:rPr>
                <w:rFonts w:hint="default" w:ascii="Times New Roman" w:hAnsi="Times New Roman" w:eastAsia="楷体" w:cs="Times New Roman"/>
                <w:kern w:val="0"/>
                <w:sz w:val="24"/>
                <w:szCs w:val="24"/>
                <w:lang w:val="en-US" w:eastAsia="zh-CN"/>
              </w:rPr>
              <w:t>0</w:t>
            </w:r>
          </w:p>
        </w:tc>
      </w:tr>
    </w:tbl>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0"/>
        <w:textAlignment w:val="auto"/>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19"/>
          <w:szCs w:val="19"/>
        </w:rPr>
        <w:t> </w:t>
      </w:r>
      <w:r>
        <w:rPr>
          <w:rFonts w:hint="eastAsia" w:ascii="黑体" w:hAnsi="宋体" w:eastAsia="黑体" w:cs="黑体"/>
          <w:i w:val="0"/>
          <w:iCs w:val="0"/>
          <w:caps w:val="0"/>
          <w:color w:val="000000"/>
          <w:spacing w:val="0"/>
          <w:sz w:val="31"/>
          <w:szCs w:val="31"/>
        </w:rPr>
        <w:t>五、存在的主要问题及改进情况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default" w:ascii="sans-serif" w:hAnsi="sans-serif" w:eastAsia="sans-serif" w:cs="sans-serif"/>
          <w:i w:val="0"/>
          <w:iCs w:val="0"/>
          <w:caps w:val="0"/>
          <w:color w:val="000000"/>
          <w:spacing w:val="0"/>
          <w:sz w:val="27"/>
          <w:szCs w:val="27"/>
        </w:rPr>
      </w:pPr>
      <w:r>
        <w:rPr>
          <w:rFonts w:hint="eastAsia" w:ascii="楷体_GB2312" w:hAnsi="sans-serif" w:eastAsia="楷体_GB2312" w:cs="楷体_GB2312"/>
          <w:i w:val="0"/>
          <w:iCs w:val="0"/>
          <w:caps w:val="0"/>
          <w:color w:val="000000"/>
          <w:spacing w:val="0"/>
          <w:sz w:val="31"/>
          <w:szCs w:val="31"/>
        </w:rPr>
        <w:t>（一）主要问题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sans-serif" w:eastAsia="仿宋_GB2312" w:cs="仿宋_GB2312"/>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rPr>
        <w:t>2021年，区</w:t>
      </w:r>
      <w:r>
        <w:rPr>
          <w:rFonts w:hint="eastAsia" w:ascii="仿宋_GB2312" w:hAnsi="sans-serif" w:eastAsia="仿宋_GB2312" w:cs="仿宋_GB2312"/>
          <w:i w:val="0"/>
          <w:iCs w:val="0"/>
          <w:caps w:val="0"/>
          <w:color w:val="000000"/>
          <w:spacing w:val="0"/>
          <w:sz w:val="31"/>
          <w:szCs w:val="31"/>
          <w:lang w:val="en-US" w:eastAsia="zh-CN"/>
        </w:rPr>
        <w:t>住建局</w:t>
      </w:r>
      <w:r>
        <w:rPr>
          <w:rFonts w:hint="eastAsia" w:ascii="仿宋_GB2312" w:hAnsi="sans-serif" w:eastAsia="仿宋_GB2312" w:cs="仿宋_GB2312"/>
          <w:i w:val="0"/>
          <w:iCs w:val="0"/>
          <w:caps w:val="0"/>
          <w:color w:val="000000"/>
          <w:spacing w:val="0"/>
          <w:sz w:val="31"/>
          <w:szCs w:val="31"/>
        </w:rPr>
        <w:t>政府信息公开工作虽然取得了一定成绩，但离区政府工作要求仍有一定差距，主要存在以下几个方面的问题：一是对政务公开工作的重视程度不够，存在部分应公开内容未及时公开的现象。二是主动公开的深度不够，对于必须公开的内容，存在粗略公开的现象。三是政府信息公开制度不够健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default" w:ascii="sans-serif" w:hAnsi="sans-serif" w:eastAsia="sans-serif" w:cs="sans-serif"/>
          <w:i w:val="0"/>
          <w:iCs w:val="0"/>
          <w:caps w:val="0"/>
          <w:color w:val="000000"/>
          <w:spacing w:val="0"/>
          <w:sz w:val="27"/>
          <w:szCs w:val="27"/>
        </w:rPr>
      </w:pPr>
      <w:r>
        <w:rPr>
          <w:rFonts w:hint="eastAsia" w:ascii="楷体_GB2312" w:hAnsi="sans-serif" w:eastAsia="楷体_GB2312" w:cs="楷体_GB2312"/>
          <w:i w:val="0"/>
          <w:iCs w:val="0"/>
          <w:caps w:val="0"/>
          <w:color w:val="000000"/>
          <w:spacing w:val="0"/>
          <w:sz w:val="31"/>
          <w:szCs w:val="31"/>
        </w:rPr>
        <w:t>（二）改进措施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1、提高认识，落实责任。进一步提高思想认识，认真贯彻落实信息公开制度，组织骨干力量从事信息公开工作，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0"/>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加大对信息员的教育和培训；同时强化局属单位、机关相关股室主要负责人对信息公开工作的认识，提高责任意识，推动信息公开工作扎实有序开展。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shd w:val="clear" w:fill="FFFFFF"/>
        </w:rPr>
        <w:t>2、充实公开内容。按照“以公开为原则，不公开为例外”的总体要求，不断深化政府信息公开内容范围。同时，加强对群众关注度高的政府信息的梳理，探索建立重大决定、草案公开制度，以便征求群众意见，推动决策的科学化、规范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5"/>
        <w:textAlignment w:val="auto"/>
        <w:rPr>
          <w:rFonts w:hint="eastAsia" w:ascii="仿宋_GB2312" w:hAnsi="sans-serif" w:eastAsia="仿宋_GB2312" w:cs="仿宋_GB2312"/>
          <w:i w:val="0"/>
          <w:iCs w:val="0"/>
          <w:caps w:val="0"/>
          <w:color w:val="000000"/>
          <w:spacing w:val="0"/>
          <w:sz w:val="31"/>
          <w:szCs w:val="31"/>
          <w:shd w:val="clear" w:fill="FFFFFF"/>
        </w:rPr>
      </w:pPr>
      <w:r>
        <w:rPr>
          <w:rFonts w:hint="eastAsia" w:ascii="仿宋_GB2312" w:hAnsi="sans-serif" w:eastAsia="仿宋_GB2312" w:cs="仿宋_GB2312"/>
          <w:i w:val="0"/>
          <w:iCs w:val="0"/>
          <w:caps w:val="0"/>
          <w:color w:val="000000"/>
          <w:spacing w:val="0"/>
          <w:sz w:val="31"/>
          <w:szCs w:val="31"/>
          <w:shd w:val="clear" w:fill="FFFFFF"/>
        </w:rPr>
        <w:t>3、建立长效机制。按照上级及相关规定要求，进一步规范信息内容审查和更新维护、考核评估、监督检查评议、培训宣传和工作年报等各个环节，确保政府信息公开工作制度化。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0"/>
        <w:textAlignment w:val="auto"/>
        <w:rPr>
          <w:rFonts w:hint="eastAsia" w:ascii="黑体" w:hAnsi="宋体" w:eastAsia="黑体" w:cs="黑体"/>
          <w:i w:val="0"/>
          <w:iCs w:val="0"/>
          <w:caps w:val="0"/>
          <w:color w:val="000000"/>
          <w:spacing w:val="0"/>
          <w:sz w:val="31"/>
          <w:szCs w:val="31"/>
          <w:lang w:val="en-US" w:eastAsia="zh-CN"/>
        </w:rPr>
      </w:pPr>
      <w:r>
        <w:rPr>
          <w:rFonts w:hint="eastAsia" w:ascii="黑体" w:hAnsi="宋体" w:eastAsia="黑体" w:cs="黑体"/>
          <w:i w:val="0"/>
          <w:iCs w:val="0"/>
          <w:caps w:val="0"/>
          <w:color w:val="000000"/>
          <w:spacing w:val="0"/>
          <w:sz w:val="31"/>
          <w:szCs w:val="31"/>
          <w:lang w:val="en-US" w:eastAsia="zh-CN"/>
        </w:rPr>
        <w:t>六、其他需要报告的事项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0"/>
        <w:textAlignment w:val="auto"/>
        <w:rPr>
          <w:rFonts w:hint="default" w:ascii="仿宋_GB2312" w:hAnsi="sans-serif" w:eastAsia="仿宋_GB2312" w:cs="仿宋_GB2312"/>
          <w:i w:val="0"/>
          <w:iCs w:val="0"/>
          <w:caps w:val="0"/>
          <w:color w:val="000000"/>
          <w:spacing w:val="0"/>
          <w:sz w:val="31"/>
          <w:szCs w:val="31"/>
          <w:shd w:val="clear" w:fill="FFFFFF"/>
        </w:rPr>
      </w:pPr>
      <w:r>
        <w:rPr>
          <w:rFonts w:hint="eastAsia" w:ascii="仿宋_GB2312" w:hAnsi="sans-serif" w:eastAsia="仿宋_GB2312" w:cs="仿宋_GB2312"/>
          <w:i w:val="0"/>
          <w:iCs w:val="0"/>
          <w:caps w:val="0"/>
          <w:color w:val="000000"/>
          <w:spacing w:val="0"/>
          <w:sz w:val="31"/>
          <w:szCs w:val="31"/>
          <w:shd w:val="clear" w:fill="FFFFFF"/>
        </w:rPr>
        <w:t>    </w:t>
      </w:r>
      <w:bookmarkStart w:id="0" w:name="_GoBack"/>
      <w:bookmarkEnd w:id="0"/>
      <w:r>
        <w:rPr>
          <w:rFonts w:hint="eastAsia" w:ascii="仿宋_GB2312" w:hAnsi="sans-serif" w:eastAsia="仿宋_GB2312" w:cs="仿宋_GB2312"/>
          <w:i w:val="0"/>
          <w:iCs w:val="0"/>
          <w:caps w:val="0"/>
          <w:color w:val="000000"/>
          <w:spacing w:val="0"/>
          <w:sz w:val="31"/>
          <w:szCs w:val="31"/>
          <w:shd w:val="clear" w:fill="FFFFFF"/>
        </w:rPr>
        <w:t>2021年，区住建局系统共主办区人大建议12件，协办6件，薛城区政协提案主办4件，协办3件。内容涉 老旧小区改造、物业管理、燃气安全。截至2021年7月底，所有建议、提案已全部办理答复完毕。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0"/>
        <w:jc w:val="right"/>
        <w:textAlignment w:val="auto"/>
        <w:rPr>
          <w:rFonts w:hint="eastAsia" w:ascii="仿宋_GB2312" w:hAnsi="sans-serif" w:eastAsia="仿宋_GB2312" w:cs="仿宋_GB2312"/>
          <w:i w:val="0"/>
          <w:iCs w:val="0"/>
          <w:caps w:val="0"/>
          <w:color w:val="000000"/>
          <w:spacing w:val="0"/>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0"/>
        <w:jc w:val="right"/>
        <w:textAlignment w:val="auto"/>
        <w:rPr>
          <w:rFonts w:hint="eastAsia" w:ascii="仿宋_GB2312" w:hAnsi="sans-serif" w:eastAsia="仿宋_GB2312" w:cs="仿宋_GB2312"/>
          <w:i w:val="0"/>
          <w:iCs w:val="0"/>
          <w:caps w:val="0"/>
          <w:color w:val="000000"/>
          <w:spacing w:val="0"/>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0"/>
        <w:jc w:val="right"/>
        <w:textAlignment w:val="auto"/>
        <w:rPr>
          <w:rFonts w:hint="eastAsia" w:ascii="仿宋_GB2312" w:hAnsi="sans-serif" w:eastAsia="仿宋_GB2312" w:cs="仿宋_GB2312"/>
          <w:i w:val="0"/>
          <w:iCs w:val="0"/>
          <w:caps w:val="0"/>
          <w:color w:val="000000"/>
          <w:spacing w:val="0"/>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0"/>
        <w:jc w:val="right"/>
        <w:textAlignment w:val="auto"/>
        <w:rPr>
          <w:rFonts w:hint="eastAsia" w:ascii="仿宋_GB2312" w:hAnsi="sans-serif" w:eastAsia="仿宋_GB2312" w:cs="仿宋_GB2312"/>
          <w:i w:val="0"/>
          <w:iCs w:val="0"/>
          <w:caps w:val="0"/>
          <w:color w:val="000000"/>
          <w:spacing w:val="0"/>
          <w:sz w:val="31"/>
          <w:szCs w:val="31"/>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0"/>
        <w:jc w:val="right"/>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薛城区住房和城乡建设局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0"/>
        <w:jc w:val="right"/>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202</w:t>
      </w:r>
      <w:r>
        <w:rPr>
          <w:rFonts w:hint="eastAsia" w:ascii="仿宋_GB2312" w:hAnsi="sans-serif" w:eastAsia="仿宋_GB2312" w:cs="仿宋_GB2312"/>
          <w:i w:val="0"/>
          <w:iCs w:val="0"/>
          <w:caps w:val="0"/>
          <w:color w:val="000000"/>
          <w:spacing w:val="0"/>
          <w:sz w:val="31"/>
          <w:szCs w:val="31"/>
          <w:lang w:val="en-US" w:eastAsia="zh-CN"/>
        </w:rPr>
        <w:t>2</w:t>
      </w:r>
      <w:r>
        <w:rPr>
          <w:rFonts w:hint="eastAsia" w:ascii="仿宋_GB2312" w:hAnsi="sans-serif" w:eastAsia="仿宋_GB2312" w:cs="仿宋_GB2312"/>
          <w:i w:val="0"/>
          <w:iCs w:val="0"/>
          <w:caps w:val="0"/>
          <w:color w:val="000000"/>
          <w:spacing w:val="0"/>
          <w:sz w:val="31"/>
          <w:szCs w:val="31"/>
        </w:rPr>
        <w:t>年</w:t>
      </w:r>
      <w:r>
        <w:rPr>
          <w:rFonts w:hint="default" w:ascii="Times New Roman" w:hAnsi="Times New Roman" w:eastAsia="仿宋_GB2312" w:cs="Times New Roman"/>
          <w:i w:val="0"/>
          <w:iCs w:val="0"/>
          <w:caps w:val="0"/>
          <w:color w:val="000000"/>
          <w:spacing w:val="0"/>
          <w:sz w:val="31"/>
          <w:szCs w:val="31"/>
        </w:rPr>
        <w:t>1</w:t>
      </w:r>
      <w:r>
        <w:rPr>
          <w:rFonts w:hint="eastAsia" w:ascii="仿宋_GB2312" w:hAnsi="sans-serif" w:eastAsia="仿宋_GB2312" w:cs="仿宋_GB2312"/>
          <w:i w:val="0"/>
          <w:iCs w:val="0"/>
          <w:caps w:val="0"/>
          <w:color w:val="000000"/>
          <w:spacing w:val="0"/>
          <w:sz w:val="31"/>
          <w:szCs w:val="31"/>
        </w:rPr>
        <w:t>月</w:t>
      </w:r>
      <w:r>
        <w:rPr>
          <w:rFonts w:hint="eastAsia" w:ascii="Times New Roman" w:hAnsi="Times New Roman" w:eastAsia="仿宋_GB2312" w:cs="Times New Roman"/>
          <w:i w:val="0"/>
          <w:iCs w:val="0"/>
          <w:caps w:val="0"/>
          <w:color w:val="000000"/>
          <w:spacing w:val="0"/>
          <w:sz w:val="31"/>
          <w:szCs w:val="31"/>
          <w:lang w:val="en-US" w:eastAsia="zh-CN"/>
        </w:rPr>
        <w:t>14</w:t>
      </w:r>
      <w:r>
        <w:rPr>
          <w:rFonts w:hint="eastAsia" w:ascii="仿宋_GB2312" w:hAnsi="sans-serif" w:eastAsia="仿宋_GB2312" w:cs="仿宋_GB2312"/>
          <w:i w:val="0"/>
          <w:iCs w:val="0"/>
          <w:caps w:val="0"/>
          <w:color w:val="000000"/>
          <w:spacing w:val="0"/>
          <w:sz w:val="31"/>
          <w:szCs w:val="31"/>
        </w:rPr>
        <w:t>日</w:t>
      </w:r>
    </w:p>
    <w:p/>
    <w:p/>
    <w:p>
      <w:pPr>
        <w:rPr>
          <w:rFonts w:hint="eastAsia" w:eastAsiaTheme="minorEastAsia"/>
          <w:lang w:eastAsia="zh-CN"/>
        </w:rPr>
      </w:pPr>
    </w:p>
    <w:p>
      <w:pPr>
        <w:keepNext w:val="0"/>
        <w:keepLines w:val="0"/>
        <w:pageBreakBefore w:val="0"/>
        <w:widowControl/>
        <w:kinsoku/>
        <w:wordWrap/>
        <w:overflowPunct/>
        <w:topLinePunct w:val="0"/>
        <w:autoSpaceDE/>
        <w:autoSpaceDN/>
        <w:bidi w:val="0"/>
        <w:adjustRightInd/>
        <w:snapToGrid/>
        <w:ind w:firstLine="420" w:firstLineChars="200"/>
        <w:jc w:val="right"/>
        <w:textAlignment w:val="auto"/>
        <w:rPr>
          <w:rFonts w:hint="default" w:ascii="Times New Roman" w:hAnsi="Times New Roman" w:cs="Times New Roma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script"/>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69F05"/>
    <w:multiLevelType w:val="singleLevel"/>
    <w:tmpl w:val="A1169F0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D6D04"/>
    <w:rsid w:val="012278A7"/>
    <w:rsid w:val="022C3B09"/>
    <w:rsid w:val="03166EFD"/>
    <w:rsid w:val="042518DB"/>
    <w:rsid w:val="05FD5596"/>
    <w:rsid w:val="0E0B1530"/>
    <w:rsid w:val="0F152540"/>
    <w:rsid w:val="0FA91612"/>
    <w:rsid w:val="13A22AA5"/>
    <w:rsid w:val="17A222D4"/>
    <w:rsid w:val="188B1BF6"/>
    <w:rsid w:val="19513066"/>
    <w:rsid w:val="19B23C21"/>
    <w:rsid w:val="19B34BB5"/>
    <w:rsid w:val="20BD7E42"/>
    <w:rsid w:val="2228286B"/>
    <w:rsid w:val="225976CE"/>
    <w:rsid w:val="23DC6477"/>
    <w:rsid w:val="26F67310"/>
    <w:rsid w:val="28A013AD"/>
    <w:rsid w:val="2A13795C"/>
    <w:rsid w:val="2B4744FD"/>
    <w:rsid w:val="32B81FF1"/>
    <w:rsid w:val="3469106E"/>
    <w:rsid w:val="35DE3C54"/>
    <w:rsid w:val="38610F83"/>
    <w:rsid w:val="3A9E4008"/>
    <w:rsid w:val="3D6B0553"/>
    <w:rsid w:val="3EF06D37"/>
    <w:rsid w:val="3F116709"/>
    <w:rsid w:val="3F1B2C13"/>
    <w:rsid w:val="40CA0A10"/>
    <w:rsid w:val="479F4B45"/>
    <w:rsid w:val="4E542EBF"/>
    <w:rsid w:val="4F7F587B"/>
    <w:rsid w:val="53263574"/>
    <w:rsid w:val="5331310D"/>
    <w:rsid w:val="5398260C"/>
    <w:rsid w:val="573A594E"/>
    <w:rsid w:val="58CF0098"/>
    <w:rsid w:val="5CA34C2E"/>
    <w:rsid w:val="5DED2151"/>
    <w:rsid w:val="639D5F0D"/>
    <w:rsid w:val="63F57B6A"/>
    <w:rsid w:val="65AF2498"/>
    <w:rsid w:val="66276298"/>
    <w:rsid w:val="677651F1"/>
    <w:rsid w:val="683653CE"/>
    <w:rsid w:val="68A35D74"/>
    <w:rsid w:val="6D1234C8"/>
    <w:rsid w:val="6E2D6367"/>
    <w:rsid w:val="6E5D7227"/>
    <w:rsid w:val="736426FB"/>
    <w:rsid w:val="73801B0C"/>
    <w:rsid w:val="7470119F"/>
    <w:rsid w:val="76A414F7"/>
    <w:rsid w:val="7A143879"/>
    <w:rsid w:val="7CA9767A"/>
    <w:rsid w:val="7D2A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2021-01-19T03:11:00Z</dcterms:created>
  <dc:creator>Administrator</dc:creator>
  <cp:lastModifiedBy>lenovo</cp:lastModifiedBy>
  <cp:lastPrinted>2021-01-25T02:40:00Z</cp:lastPrinted>
  <dcterms:modified xsi:type="dcterms:W3CDTF">2022-01-27T06:56:46Z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18EA416553C94FA18B3630BD99D8B4D7</vt:lpwstr>
  </property>
</Properties>
</file>