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0040A1"/>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sz w:val="44"/>
          <w:szCs w:val="44"/>
          <w:shd w:val="clear" w:fill="FFFFFF"/>
        </w:rPr>
      </w:pPr>
      <w:r>
        <w:rPr>
          <w:rFonts w:hint="default" w:ascii="Times New Roman" w:hAnsi="Times New Roman" w:eastAsia="方正小标宋简体" w:cs="Times New Roman"/>
          <w:b w:val="0"/>
          <w:bCs w:val="0"/>
          <w:i w:val="0"/>
          <w:iCs w:val="0"/>
          <w:caps w:val="0"/>
          <w:color w:val="auto"/>
          <w:spacing w:val="0"/>
          <w:sz w:val="44"/>
          <w:szCs w:val="44"/>
          <w:shd w:val="clear" w:fill="FFFFFF"/>
        </w:rPr>
        <w:t>薛城区</w:t>
      </w:r>
      <w:r>
        <w:rPr>
          <w:rFonts w:hint="default" w:ascii="Times New Roman" w:hAnsi="Times New Roman" w:eastAsia="方正小标宋简体" w:cs="Times New Roman"/>
          <w:b w:val="0"/>
          <w:bCs w:val="0"/>
          <w:i w:val="0"/>
          <w:iCs w:val="0"/>
          <w:caps w:val="0"/>
          <w:color w:val="auto"/>
          <w:spacing w:val="0"/>
          <w:sz w:val="44"/>
          <w:szCs w:val="44"/>
          <w:shd w:val="clear" w:fill="FFFFFF"/>
          <w:lang w:eastAsia="zh-CN"/>
        </w:rPr>
        <w:t>乡村振兴局</w:t>
      </w:r>
      <w:r>
        <w:rPr>
          <w:rFonts w:hint="default" w:ascii="Times New Roman" w:hAnsi="Times New Roman" w:eastAsia="方正小标宋简体" w:cs="Times New Roman"/>
          <w:b w:val="0"/>
          <w:bCs w:val="0"/>
          <w:i w:val="0"/>
          <w:iCs w:val="0"/>
          <w:caps w:val="0"/>
          <w:color w:val="auto"/>
          <w:spacing w:val="0"/>
          <w:sz w:val="44"/>
          <w:szCs w:val="44"/>
          <w:shd w:val="clear" w:fill="FFFFFF"/>
        </w:rPr>
        <w:t>2021年政府信息公开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sz w:val="44"/>
          <w:szCs w:val="44"/>
        </w:rPr>
      </w:pPr>
      <w:r>
        <w:rPr>
          <w:rFonts w:hint="default" w:ascii="Times New Roman" w:hAnsi="Times New Roman" w:eastAsia="方正小标宋简体" w:cs="Times New Roman"/>
          <w:b w:val="0"/>
          <w:bCs w:val="0"/>
          <w:i w:val="0"/>
          <w:iCs w:val="0"/>
          <w:caps w:val="0"/>
          <w:color w:val="auto"/>
          <w:spacing w:val="0"/>
          <w:sz w:val="44"/>
          <w:szCs w:val="44"/>
          <w:shd w:val="clear" w:fill="FFFFFF"/>
        </w:rPr>
        <w:t>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ascii="仿宋_GB2312" w:hAnsi="宋体" w:eastAsia="仿宋_GB2312" w:cs="仿宋_GB2312"/>
          <w:i w:val="0"/>
          <w:iCs w:val="0"/>
          <w:caps w:val="0"/>
          <w:color w:val="000000"/>
          <w:spacing w:val="0"/>
          <w:sz w:val="31"/>
          <w:szCs w:val="31"/>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lang w:eastAsia="zh-CN"/>
        </w:rPr>
        <w:t>为积极贯彻落实</w:t>
      </w:r>
      <w:r>
        <w:rPr>
          <w:rFonts w:hint="eastAsia" w:ascii="仿宋" w:hAnsi="仿宋" w:eastAsia="仿宋" w:cs="仿宋"/>
          <w:i w:val="0"/>
          <w:iCs w:val="0"/>
          <w:caps w:val="0"/>
          <w:color w:val="000000"/>
          <w:spacing w:val="0"/>
          <w:sz w:val="32"/>
          <w:szCs w:val="32"/>
          <w:shd w:val="clear" w:fill="FFFFFF"/>
        </w:rPr>
        <w:t>《中华人民共和国政府信息公开条例》</w:t>
      </w:r>
      <w:r>
        <w:rPr>
          <w:rFonts w:hint="eastAsia" w:ascii="仿宋" w:hAnsi="仿宋" w:eastAsia="仿宋" w:cs="仿宋"/>
          <w:i w:val="0"/>
          <w:iCs w:val="0"/>
          <w:caps w:val="0"/>
          <w:color w:val="000000"/>
          <w:spacing w:val="0"/>
          <w:sz w:val="32"/>
          <w:szCs w:val="32"/>
          <w:shd w:val="clear" w:fill="FFFFFF"/>
          <w:lang w:eastAsia="zh-CN"/>
        </w:rPr>
        <w:t>等文件精神</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薛城区乡村振兴局紧密结合全区巩固拓展脱贫攻坚成果同乡村振兴有效衔接工作，</w:t>
      </w:r>
      <w:r>
        <w:rPr>
          <w:rFonts w:hint="eastAsia" w:ascii="仿宋" w:hAnsi="仿宋" w:eastAsia="仿宋" w:cs="仿宋"/>
          <w:i w:val="0"/>
          <w:iCs w:val="0"/>
          <w:caps w:val="0"/>
          <w:color w:val="000000"/>
          <w:spacing w:val="0"/>
          <w:sz w:val="32"/>
          <w:szCs w:val="32"/>
          <w:shd w:val="clear" w:fill="FFFFFF"/>
        </w:rPr>
        <w:t>以服务</w:t>
      </w:r>
      <w:r>
        <w:rPr>
          <w:rFonts w:hint="eastAsia" w:ascii="仿宋" w:hAnsi="仿宋" w:eastAsia="仿宋" w:cs="仿宋"/>
          <w:i w:val="0"/>
          <w:iCs w:val="0"/>
          <w:caps w:val="0"/>
          <w:color w:val="000000"/>
          <w:spacing w:val="0"/>
          <w:sz w:val="32"/>
          <w:szCs w:val="32"/>
          <w:shd w:val="clear" w:fill="FFFFFF"/>
          <w:lang w:eastAsia="zh-CN"/>
        </w:rPr>
        <w:t>困难</w:t>
      </w:r>
      <w:r>
        <w:rPr>
          <w:rFonts w:hint="eastAsia" w:ascii="仿宋" w:hAnsi="仿宋" w:eastAsia="仿宋" w:cs="仿宋"/>
          <w:i w:val="0"/>
          <w:iCs w:val="0"/>
          <w:caps w:val="0"/>
          <w:color w:val="000000"/>
          <w:spacing w:val="0"/>
          <w:sz w:val="32"/>
          <w:szCs w:val="32"/>
          <w:shd w:val="clear" w:fill="FFFFFF"/>
        </w:rPr>
        <w:t>群众为根本，坚持把公开透明作为机关工作的基本制度，严格按照上级工作安排部署，积极推动政务公开工作开展</w:t>
      </w:r>
      <w:r>
        <w:rPr>
          <w:rFonts w:hint="eastAsia" w:ascii="仿宋" w:hAnsi="仿宋" w:eastAsia="仿宋" w:cs="仿宋"/>
          <w:i w:val="0"/>
          <w:iCs w:val="0"/>
          <w:caps w:val="0"/>
          <w:color w:val="000000"/>
          <w:spacing w:val="0"/>
          <w:sz w:val="32"/>
          <w:szCs w:val="32"/>
          <w:shd w:val="clear" w:fill="FFFFFF"/>
          <w:lang w:eastAsia="zh-CN"/>
        </w:rPr>
        <w:t>，工作取得明显进展，得到社会各界一致好评。</w:t>
      </w:r>
      <w:r>
        <w:rPr>
          <w:rFonts w:hint="eastAsia" w:ascii="仿宋" w:hAnsi="仿宋" w:eastAsia="仿宋" w:cs="仿宋"/>
          <w:i w:val="0"/>
          <w:iCs w:val="0"/>
          <w:caps w:val="0"/>
          <w:color w:val="000000"/>
          <w:spacing w:val="0"/>
          <w:sz w:val="32"/>
          <w:szCs w:val="32"/>
          <w:shd w:val="clear" w:fill="FFFFFF"/>
        </w:rPr>
        <w:t>现将区</w:t>
      </w:r>
      <w:r>
        <w:rPr>
          <w:rFonts w:hint="eastAsia" w:ascii="仿宋" w:hAnsi="仿宋" w:eastAsia="仿宋" w:cs="仿宋"/>
          <w:i w:val="0"/>
          <w:iCs w:val="0"/>
          <w:caps w:val="0"/>
          <w:color w:val="000000"/>
          <w:spacing w:val="0"/>
          <w:sz w:val="32"/>
          <w:szCs w:val="32"/>
          <w:shd w:val="clear" w:fill="FFFFFF"/>
          <w:lang w:eastAsia="zh-CN"/>
        </w:rPr>
        <w:t>乡村振兴局</w:t>
      </w:r>
      <w:r>
        <w:rPr>
          <w:rFonts w:hint="eastAsia" w:ascii="仿宋" w:hAnsi="仿宋" w:eastAsia="仿宋" w:cs="仿宋"/>
          <w:i w:val="0"/>
          <w:iCs w:val="0"/>
          <w:caps w:val="0"/>
          <w:color w:val="000000"/>
          <w:spacing w:val="0"/>
          <w:sz w:val="32"/>
          <w:szCs w:val="32"/>
          <w:shd w:val="clear" w:fill="FFFFFF"/>
        </w:rPr>
        <w:t>2021年度公开的政府信息报告如下：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2021年，我局高度重视政务信息公开工作，认真贯彻落实《中华人民共和国政府信息公开条例》</w:t>
      </w:r>
      <w:r>
        <w:rPr>
          <w:rFonts w:hint="eastAsia" w:ascii="仿宋" w:hAnsi="仿宋" w:eastAsia="仿宋" w:cs="仿宋"/>
          <w:i w:val="0"/>
          <w:iCs w:val="0"/>
          <w:caps w:val="0"/>
          <w:color w:val="000000"/>
          <w:spacing w:val="0"/>
          <w:sz w:val="32"/>
          <w:szCs w:val="32"/>
          <w:shd w:val="clear" w:fill="FFFFFF"/>
          <w:lang w:eastAsia="zh-CN"/>
        </w:rPr>
        <w:t>文件精神</w:t>
      </w:r>
      <w:r>
        <w:rPr>
          <w:rFonts w:hint="eastAsia" w:ascii="仿宋" w:hAnsi="仿宋" w:eastAsia="仿宋" w:cs="仿宋"/>
          <w:i w:val="0"/>
          <w:iCs w:val="0"/>
          <w:caps w:val="0"/>
          <w:color w:val="000000"/>
          <w:spacing w:val="0"/>
          <w:sz w:val="32"/>
          <w:szCs w:val="32"/>
          <w:shd w:val="clear" w:fill="FFFFFF"/>
        </w:rPr>
        <w:t>，严格按照《关于做好2021年度政府信息公开年度报告编制发布工作的通知》要求，不断</w:t>
      </w:r>
      <w:r>
        <w:rPr>
          <w:rFonts w:hint="eastAsia" w:ascii="仿宋" w:hAnsi="仿宋" w:eastAsia="仿宋" w:cs="仿宋"/>
          <w:i w:val="0"/>
          <w:iCs w:val="0"/>
          <w:caps w:val="0"/>
          <w:color w:val="000000"/>
          <w:spacing w:val="0"/>
          <w:sz w:val="32"/>
          <w:szCs w:val="32"/>
          <w:shd w:val="clear" w:fill="FFFFFF"/>
          <w:lang w:eastAsia="zh-CN"/>
        </w:rPr>
        <w:t>强化</w:t>
      </w:r>
      <w:r>
        <w:rPr>
          <w:rFonts w:hint="eastAsia" w:ascii="仿宋" w:hAnsi="仿宋" w:eastAsia="仿宋" w:cs="仿宋"/>
          <w:i w:val="0"/>
          <w:iCs w:val="0"/>
          <w:caps w:val="0"/>
          <w:color w:val="000000"/>
          <w:spacing w:val="0"/>
          <w:sz w:val="32"/>
          <w:szCs w:val="32"/>
          <w:shd w:val="clear" w:fill="FFFFFF"/>
        </w:rPr>
        <w:t>政务公开工作</w:t>
      </w:r>
      <w:r>
        <w:rPr>
          <w:rFonts w:hint="eastAsia" w:ascii="仿宋" w:hAnsi="仿宋" w:eastAsia="仿宋" w:cs="仿宋"/>
          <w:i w:val="0"/>
          <w:iCs w:val="0"/>
          <w:caps w:val="0"/>
          <w:color w:val="000000"/>
          <w:spacing w:val="0"/>
          <w:sz w:val="32"/>
          <w:szCs w:val="32"/>
          <w:shd w:val="clear" w:fill="FFFFFF"/>
          <w:lang w:eastAsia="zh-CN"/>
        </w:rPr>
        <w:t>组织</w:t>
      </w:r>
      <w:r>
        <w:rPr>
          <w:rFonts w:hint="eastAsia" w:ascii="仿宋" w:hAnsi="仿宋" w:eastAsia="仿宋" w:cs="仿宋"/>
          <w:i w:val="0"/>
          <w:iCs w:val="0"/>
          <w:caps w:val="0"/>
          <w:color w:val="000000"/>
          <w:spacing w:val="0"/>
          <w:sz w:val="32"/>
          <w:szCs w:val="32"/>
          <w:shd w:val="clear" w:fill="FFFFFF"/>
        </w:rPr>
        <w:t>领导，扎实开展政务公开工作。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47"/>
        <w:jc w:val="left"/>
        <w:textAlignment w:val="auto"/>
        <w:rPr>
          <w:rFonts w:hint="eastAsia" w:ascii="楷体" w:hAnsi="楷体" w:eastAsia="楷体" w:cs="楷体"/>
          <w:sz w:val="32"/>
          <w:szCs w:val="32"/>
        </w:rPr>
      </w:pPr>
      <w:r>
        <w:rPr>
          <w:rFonts w:hint="eastAsia" w:ascii="楷体" w:hAnsi="楷体" w:eastAsia="楷体" w:cs="楷体"/>
          <w:b w:val="0"/>
          <w:bCs w:val="0"/>
          <w:i w:val="0"/>
          <w:caps w:val="0"/>
          <w:color w:val="333333"/>
          <w:spacing w:val="8"/>
          <w:sz w:val="32"/>
          <w:szCs w:val="32"/>
          <w:shd w:val="clear" w:fill="FFFFFF"/>
          <w:lang w:eastAsia="zh-CN"/>
        </w:rPr>
        <w:t>（一）</w:t>
      </w:r>
      <w:r>
        <w:rPr>
          <w:rFonts w:hint="eastAsia" w:ascii="楷体" w:hAnsi="楷体" w:eastAsia="楷体" w:cs="楷体"/>
          <w:i w:val="0"/>
          <w:iCs w:val="0"/>
          <w:caps w:val="0"/>
          <w:color w:val="000000"/>
          <w:spacing w:val="0"/>
          <w:sz w:val="32"/>
          <w:szCs w:val="32"/>
          <w:shd w:val="clear" w:fill="FFFFFF"/>
        </w:rPr>
        <w:t>信息主动公开情况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2021年区</w:t>
      </w:r>
      <w:r>
        <w:rPr>
          <w:rFonts w:hint="eastAsia" w:ascii="仿宋" w:hAnsi="仿宋" w:eastAsia="仿宋" w:cs="仿宋"/>
          <w:i w:val="0"/>
          <w:iCs w:val="0"/>
          <w:caps w:val="0"/>
          <w:color w:val="000000"/>
          <w:spacing w:val="0"/>
          <w:sz w:val="32"/>
          <w:szCs w:val="32"/>
          <w:shd w:val="clear" w:fill="FFFFFF"/>
          <w:lang w:eastAsia="zh-CN"/>
        </w:rPr>
        <w:t>乡村振兴局</w:t>
      </w:r>
      <w:r>
        <w:rPr>
          <w:rFonts w:hint="eastAsia" w:ascii="仿宋" w:hAnsi="仿宋" w:eastAsia="仿宋" w:cs="仿宋"/>
          <w:i w:val="0"/>
          <w:iCs w:val="0"/>
          <w:caps w:val="0"/>
          <w:color w:val="000000"/>
          <w:spacing w:val="0"/>
          <w:sz w:val="32"/>
          <w:szCs w:val="32"/>
          <w:shd w:val="clear" w:fill="FFFFFF"/>
        </w:rPr>
        <w:t>通过薛城区政府信息公开门户网站（薛城区信息公开网）共发布信息</w:t>
      </w:r>
      <w:r>
        <w:rPr>
          <w:rFonts w:hint="eastAsia" w:ascii="仿宋" w:hAnsi="仿宋" w:eastAsia="仿宋" w:cs="仿宋"/>
          <w:i w:val="0"/>
          <w:iCs w:val="0"/>
          <w:caps w:val="0"/>
          <w:color w:val="000000"/>
          <w:spacing w:val="0"/>
          <w:sz w:val="32"/>
          <w:szCs w:val="32"/>
          <w:shd w:val="clear" w:fill="FFFFFF"/>
          <w:lang w:val="en-US" w:eastAsia="zh-CN"/>
        </w:rPr>
        <w:t>73</w:t>
      </w:r>
      <w:r>
        <w:rPr>
          <w:rFonts w:hint="eastAsia" w:ascii="仿宋" w:hAnsi="仿宋" w:eastAsia="仿宋" w:cs="仿宋"/>
          <w:i w:val="0"/>
          <w:iCs w:val="0"/>
          <w:caps w:val="0"/>
          <w:color w:val="000000"/>
          <w:spacing w:val="0"/>
          <w:sz w:val="32"/>
          <w:szCs w:val="32"/>
          <w:shd w:val="clear" w:fill="FFFFFF"/>
        </w:rPr>
        <w:t>条，发布信息格式规范、内容完整，无敏感信息。公开内容主要包括机构职能、政策文件及政策解读等，其中：机构职能信息3条，政策</w:t>
      </w:r>
      <w:r>
        <w:rPr>
          <w:rFonts w:hint="eastAsia" w:ascii="仿宋" w:hAnsi="仿宋" w:eastAsia="仿宋" w:cs="仿宋"/>
          <w:i w:val="0"/>
          <w:iCs w:val="0"/>
          <w:caps w:val="0"/>
          <w:color w:val="000000"/>
          <w:spacing w:val="0"/>
          <w:sz w:val="32"/>
          <w:szCs w:val="32"/>
          <w:shd w:val="clear" w:fill="FFFFFF"/>
          <w:lang w:eastAsia="zh-CN"/>
        </w:rPr>
        <w:t>措施及解读</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条，</w:t>
      </w:r>
      <w:r>
        <w:rPr>
          <w:rFonts w:hint="eastAsia" w:ascii="仿宋" w:hAnsi="仿宋" w:eastAsia="仿宋" w:cs="仿宋"/>
          <w:i w:val="0"/>
          <w:iCs w:val="0"/>
          <w:caps w:val="0"/>
          <w:color w:val="000000"/>
          <w:spacing w:val="0"/>
          <w:sz w:val="32"/>
          <w:szCs w:val="32"/>
          <w:shd w:val="clear" w:fill="FFFFFF"/>
          <w:lang w:eastAsia="zh-CN"/>
        </w:rPr>
        <w:t>工作进展</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条，重点领域信息</w:t>
      </w:r>
      <w:r>
        <w:rPr>
          <w:rFonts w:hint="eastAsia" w:ascii="仿宋" w:hAnsi="仿宋" w:eastAsia="仿宋" w:cs="仿宋"/>
          <w:i w:val="0"/>
          <w:iCs w:val="0"/>
          <w:caps w:val="0"/>
          <w:color w:val="000000"/>
          <w:spacing w:val="0"/>
          <w:sz w:val="32"/>
          <w:szCs w:val="32"/>
          <w:shd w:val="clear" w:fill="FFFFFF"/>
          <w:lang w:val="en-US" w:eastAsia="zh-CN"/>
        </w:rPr>
        <w:t>61</w:t>
      </w:r>
      <w:r>
        <w:rPr>
          <w:rFonts w:hint="eastAsia" w:ascii="仿宋" w:hAnsi="仿宋" w:eastAsia="仿宋" w:cs="仿宋"/>
          <w:i w:val="0"/>
          <w:iCs w:val="0"/>
          <w:caps w:val="0"/>
          <w:color w:val="000000"/>
          <w:spacing w:val="0"/>
          <w:sz w:val="32"/>
          <w:szCs w:val="32"/>
          <w:shd w:val="clear" w:fill="FFFFFF"/>
        </w:rPr>
        <w:t>条。符合政务公开考核指标要求。</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Chars="247"/>
        <w:jc w:val="left"/>
        <w:textAlignment w:val="auto"/>
        <w:rPr>
          <w:rFonts w:hint="eastAsia" w:ascii="楷体" w:hAnsi="楷体" w:eastAsia="楷体" w:cs="楷体"/>
          <w:sz w:val="32"/>
          <w:szCs w:val="32"/>
        </w:rPr>
      </w:pPr>
      <w:r>
        <w:rPr>
          <w:rFonts w:hint="eastAsia" w:ascii="楷体" w:hAnsi="楷体" w:eastAsia="楷体" w:cs="楷体"/>
          <w:i w:val="0"/>
          <w:iCs w:val="0"/>
          <w:caps w:val="0"/>
          <w:color w:val="000000"/>
          <w:spacing w:val="0"/>
          <w:sz w:val="32"/>
          <w:szCs w:val="32"/>
          <w:shd w:val="clear" w:fill="FFFFFF"/>
        </w:rPr>
        <w:t>信息依申请公开情况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我局政府信息依申请公开渠道始终保持畅通，程序受理、处理、答复等流程完善、便利，依法保障了公民、法人和其他组织获取政府信息的权利。2021年，</w:t>
      </w:r>
      <w:r>
        <w:rPr>
          <w:rFonts w:hint="eastAsia" w:ascii="仿宋" w:hAnsi="仿宋" w:eastAsia="仿宋" w:cs="仿宋"/>
          <w:i w:val="0"/>
          <w:iCs w:val="0"/>
          <w:caps w:val="0"/>
          <w:color w:val="000000"/>
          <w:spacing w:val="0"/>
          <w:sz w:val="32"/>
          <w:szCs w:val="32"/>
          <w:shd w:val="clear" w:fill="FFFFFF"/>
          <w:lang w:eastAsia="zh-CN"/>
        </w:rPr>
        <w:t>未</w:t>
      </w:r>
      <w:r>
        <w:rPr>
          <w:rFonts w:hint="eastAsia" w:ascii="仿宋" w:hAnsi="仿宋" w:eastAsia="仿宋" w:cs="仿宋"/>
          <w:i w:val="0"/>
          <w:iCs w:val="0"/>
          <w:caps w:val="0"/>
          <w:color w:val="000000"/>
          <w:spacing w:val="0"/>
          <w:sz w:val="32"/>
          <w:szCs w:val="32"/>
          <w:shd w:val="clear" w:fill="FFFFFF"/>
        </w:rPr>
        <w:t>收到依申请公开事项。无因政府信息公开申请提起行政复议、行政诉讼情况。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b w:val="0"/>
          <w:bCs w:val="0"/>
          <w:i w:val="0"/>
          <w:caps w:val="0"/>
          <w:color w:val="333333"/>
          <w:spacing w:val="8"/>
          <w:sz w:val="32"/>
          <w:szCs w:val="32"/>
          <w:shd w:val="clear"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247"/>
        <w:jc w:val="left"/>
        <w:textAlignment w:val="auto"/>
        <w:rPr>
          <w:rFonts w:hint="eastAsia" w:ascii="楷体" w:hAnsi="楷体" w:eastAsia="楷体" w:cs="楷体"/>
          <w:b w:val="0"/>
          <w:bCs w:val="0"/>
          <w:i w:val="0"/>
          <w:caps w:val="0"/>
          <w:color w:val="333333"/>
          <w:spacing w:val="8"/>
          <w:sz w:val="32"/>
          <w:szCs w:val="32"/>
          <w:shd w:val="clear" w:fill="FFFFFF"/>
          <w:lang w:val="en-US" w:eastAsia="zh-CN"/>
        </w:rPr>
      </w:pPr>
      <w:r>
        <w:rPr>
          <w:rFonts w:hint="eastAsia" w:ascii="楷体" w:hAnsi="楷体" w:eastAsia="楷体" w:cs="楷体"/>
          <w:b w:val="0"/>
          <w:bCs w:val="0"/>
          <w:i w:val="0"/>
          <w:caps w:val="0"/>
          <w:color w:val="333333"/>
          <w:spacing w:val="8"/>
          <w:sz w:val="32"/>
          <w:szCs w:val="32"/>
          <w:shd w:val="clear" w:fill="FFFFFF"/>
          <w:lang w:val="en-US" w:eastAsia="zh-CN"/>
        </w:rPr>
        <w:t>（三）政府信息管理情况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2"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i w:val="0"/>
          <w:caps w:val="0"/>
          <w:color w:val="333333"/>
          <w:spacing w:val="8"/>
          <w:sz w:val="32"/>
          <w:szCs w:val="32"/>
          <w:shd w:val="clear" w:fill="FFFFFF"/>
          <w:lang w:val="en-US" w:eastAsia="zh-CN"/>
        </w:rPr>
        <w:t>区乡村振兴局始终将政府信息公开作为工作的重要内容，严格落实源头管理原则，按照“谁负责、谁公开”的工作要求，完善信息发布流程，及时宣传扶贫政策，积极展示工作成效，方便群众获取信息，切实保障群众的知情权、监督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w:t>
      </w:r>
      <w:r>
        <w:rPr>
          <w:rFonts w:hint="eastAsia" w:ascii="楷体" w:hAnsi="楷体" w:eastAsia="楷体" w:cs="楷体"/>
          <w:i w:val="0"/>
          <w:iCs w:val="0"/>
          <w:caps w:val="0"/>
          <w:color w:val="000000"/>
          <w:spacing w:val="0"/>
          <w:sz w:val="32"/>
          <w:szCs w:val="32"/>
          <w:shd w:val="clear" w:fill="FFFFFF"/>
          <w:lang w:eastAsia="zh-CN"/>
        </w:rPr>
        <w:t>四</w:t>
      </w:r>
      <w:r>
        <w:rPr>
          <w:rFonts w:hint="eastAsia" w:ascii="楷体" w:hAnsi="楷体" w:eastAsia="楷体" w:cs="楷体"/>
          <w:i w:val="0"/>
          <w:iCs w:val="0"/>
          <w:caps w:val="0"/>
          <w:color w:val="000000"/>
          <w:spacing w:val="0"/>
          <w:sz w:val="32"/>
          <w:szCs w:val="32"/>
          <w:shd w:val="clear" w:fill="FFFFFF"/>
        </w:rPr>
        <w:t>）</w:t>
      </w:r>
      <w:r>
        <w:rPr>
          <w:rFonts w:hint="eastAsia" w:ascii="楷体" w:hAnsi="楷体" w:eastAsia="楷体" w:cs="楷体"/>
          <w:b w:val="0"/>
          <w:bCs w:val="0"/>
          <w:sz w:val="32"/>
          <w:szCs w:val="32"/>
        </w:rPr>
        <w:t>政府信息公开平台建设</w:t>
      </w:r>
      <w:r>
        <w:rPr>
          <w:rFonts w:hint="eastAsia" w:ascii="楷体" w:hAnsi="楷体" w:eastAsia="楷体" w:cs="楷体"/>
          <w:b w:val="0"/>
          <w:bCs w:val="0"/>
          <w:sz w:val="32"/>
          <w:szCs w:val="32"/>
          <w:lang w:eastAsia="zh-CN"/>
        </w:rPr>
        <w:t>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区乡村振兴局为保障工作推进有序，</w:t>
      </w:r>
      <w:r>
        <w:rPr>
          <w:rFonts w:hint="eastAsia" w:ascii="仿宋" w:hAnsi="仿宋" w:eastAsia="仿宋" w:cs="仿宋"/>
          <w:i w:val="0"/>
          <w:iCs w:val="0"/>
          <w:caps w:val="0"/>
          <w:color w:val="000000"/>
          <w:spacing w:val="0"/>
          <w:sz w:val="32"/>
          <w:szCs w:val="32"/>
          <w:shd w:val="clear" w:fill="FFFFFF"/>
        </w:rPr>
        <w:t>成立以局长为第一责任人、分管领导为直接责任人、相关</w:t>
      </w:r>
      <w:r>
        <w:rPr>
          <w:rFonts w:hint="eastAsia" w:ascii="仿宋" w:hAnsi="仿宋" w:eastAsia="仿宋" w:cs="仿宋"/>
          <w:i w:val="0"/>
          <w:iCs w:val="0"/>
          <w:caps w:val="0"/>
          <w:color w:val="000000"/>
          <w:spacing w:val="0"/>
          <w:sz w:val="32"/>
          <w:szCs w:val="32"/>
          <w:shd w:val="clear" w:fill="FFFFFF"/>
          <w:lang w:eastAsia="zh-CN"/>
        </w:rPr>
        <w:t>工作组组长</w:t>
      </w:r>
      <w:r>
        <w:rPr>
          <w:rFonts w:hint="eastAsia" w:ascii="仿宋" w:hAnsi="仿宋" w:eastAsia="仿宋" w:cs="仿宋"/>
          <w:i w:val="0"/>
          <w:iCs w:val="0"/>
          <w:caps w:val="0"/>
          <w:color w:val="000000"/>
          <w:spacing w:val="0"/>
          <w:sz w:val="32"/>
          <w:szCs w:val="32"/>
          <w:shd w:val="clear" w:fill="FFFFFF"/>
        </w:rPr>
        <w:t>任为成员的领导小组，领导小组下设办公室，具体负责日常政务工作开展及协调</w:t>
      </w:r>
      <w:r>
        <w:rPr>
          <w:rFonts w:hint="eastAsia" w:ascii="仿宋" w:hAnsi="仿宋" w:eastAsia="仿宋" w:cs="仿宋"/>
          <w:i w:val="0"/>
          <w:iCs w:val="0"/>
          <w:caps w:val="0"/>
          <w:color w:val="000000"/>
          <w:spacing w:val="0"/>
          <w:sz w:val="32"/>
          <w:szCs w:val="32"/>
          <w:shd w:val="clear" w:fill="FFFFFF"/>
          <w:lang w:eastAsia="zh-CN"/>
        </w:rPr>
        <w:t>，全面推进政务信息公开工作深入开展</w:t>
      </w:r>
      <w:r>
        <w:rPr>
          <w:rFonts w:hint="eastAsia" w:ascii="仿宋" w:hAnsi="仿宋" w:eastAsia="仿宋" w:cs="仿宋"/>
          <w:i w:val="0"/>
          <w:iCs w:val="0"/>
          <w:caps w:val="0"/>
          <w:color w:val="000000"/>
          <w:spacing w:val="0"/>
          <w:sz w:val="32"/>
          <w:szCs w:val="32"/>
          <w:shd w:val="clear" w:fill="FFFFFF"/>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5"/>
        <w:textAlignment w:val="auto"/>
        <w:rPr>
          <w:rFonts w:hint="eastAsia" w:ascii="楷体" w:hAnsi="楷体" w:eastAsia="楷体" w:cs="楷体"/>
          <w:i w:val="0"/>
          <w:iCs w:val="0"/>
          <w:caps w:val="0"/>
          <w:color w:val="000000"/>
          <w:spacing w:val="0"/>
          <w:sz w:val="32"/>
          <w:szCs w:val="32"/>
          <w:shd w:val="clear" w:fill="FFFFFF"/>
          <w:lang w:eastAsia="zh-CN"/>
        </w:rPr>
      </w:pPr>
      <w:r>
        <w:rPr>
          <w:rFonts w:hint="eastAsia" w:ascii="楷体" w:hAnsi="楷体" w:eastAsia="楷体" w:cs="楷体"/>
          <w:i w:val="0"/>
          <w:iCs w:val="0"/>
          <w:caps w:val="0"/>
          <w:color w:val="000000"/>
          <w:spacing w:val="0"/>
          <w:sz w:val="32"/>
          <w:szCs w:val="32"/>
          <w:shd w:val="clear" w:fill="FFFFFF"/>
          <w:lang w:eastAsia="zh-CN"/>
        </w:rPr>
        <w:t>、监督保障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根据人员变动及时调整单位政务公开工作领导小组，强化组织领导，明确责任分工。定期组织政务公开信息员业务培训，强化保密意识，提升业务水平。主动接受区政务公开办对我单位政务信息公开情况的监督，对照监督检测出的问题及时认真做好整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楷体" w:hAnsi="楷体" w:eastAsia="楷体" w:cs="楷体"/>
          <w:sz w:val="32"/>
          <w:szCs w:val="32"/>
        </w:rPr>
      </w:pPr>
      <w:r>
        <w:rPr>
          <w:rFonts w:hint="eastAsia" w:ascii="楷体" w:hAnsi="楷体" w:eastAsia="楷体" w:cs="楷体"/>
          <w:i w:val="0"/>
          <w:iCs w:val="0"/>
          <w:caps w:val="0"/>
          <w:color w:val="000000"/>
          <w:spacing w:val="0"/>
          <w:sz w:val="32"/>
          <w:szCs w:val="32"/>
          <w:shd w:val="clear" w:fill="FFFFFF"/>
        </w:rPr>
        <w:t>（</w:t>
      </w:r>
      <w:r>
        <w:rPr>
          <w:rFonts w:hint="eastAsia" w:ascii="楷体" w:hAnsi="楷体" w:eastAsia="楷体" w:cs="楷体"/>
          <w:i w:val="0"/>
          <w:iCs w:val="0"/>
          <w:caps w:val="0"/>
          <w:color w:val="000000"/>
          <w:spacing w:val="0"/>
          <w:sz w:val="32"/>
          <w:szCs w:val="32"/>
          <w:shd w:val="clear" w:fill="FFFFFF"/>
          <w:lang w:eastAsia="zh-CN"/>
        </w:rPr>
        <w:t>六</w:t>
      </w:r>
      <w:r>
        <w:rPr>
          <w:rFonts w:hint="eastAsia" w:ascii="楷体" w:hAnsi="楷体" w:eastAsia="楷体" w:cs="楷体"/>
          <w:i w:val="0"/>
          <w:iCs w:val="0"/>
          <w:caps w:val="0"/>
          <w:color w:val="000000"/>
          <w:spacing w:val="0"/>
          <w:sz w:val="32"/>
          <w:szCs w:val="32"/>
          <w:shd w:val="clear" w:fill="FFFFFF"/>
        </w:rPr>
        <w:t>）建议提案办理结果公开情况</w:t>
      </w:r>
      <w:bookmarkStart w:id="10" w:name="_GoBack"/>
      <w:bookmarkEnd w:id="1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2021年我局</w:t>
      </w:r>
      <w:r>
        <w:rPr>
          <w:rFonts w:hint="eastAsia" w:ascii="仿宋" w:hAnsi="仿宋" w:eastAsia="仿宋" w:cs="仿宋"/>
          <w:i w:val="0"/>
          <w:iCs w:val="0"/>
          <w:caps w:val="0"/>
          <w:color w:val="000000"/>
          <w:spacing w:val="0"/>
          <w:sz w:val="32"/>
          <w:szCs w:val="32"/>
          <w:shd w:val="clear" w:fill="FFFFFF"/>
          <w:lang w:eastAsia="zh-CN"/>
        </w:rPr>
        <w:t>未受到</w:t>
      </w:r>
      <w:r>
        <w:rPr>
          <w:rFonts w:hint="eastAsia" w:ascii="仿宋" w:hAnsi="仿宋" w:eastAsia="仿宋" w:cs="仿宋"/>
          <w:i w:val="0"/>
          <w:iCs w:val="0"/>
          <w:caps w:val="0"/>
          <w:color w:val="000000"/>
          <w:spacing w:val="0"/>
          <w:sz w:val="32"/>
          <w:szCs w:val="32"/>
          <w:shd w:val="clear" w:fill="FFFFFF"/>
        </w:rPr>
        <w:t>人大代表建议、政协提案办理事项。</w:t>
      </w:r>
      <w:r>
        <w:rPr>
          <w:rFonts w:hint="eastAsia" w:ascii="仿宋" w:hAnsi="仿宋" w:eastAsia="仿宋" w:cs="仿宋"/>
          <w:i w:val="0"/>
          <w:iCs w:val="0"/>
          <w:caps w:val="0"/>
          <w:color w:val="000000"/>
          <w:spacing w:val="0"/>
          <w:sz w:val="32"/>
          <w:szCs w:val="32"/>
          <w:shd w:val="clear" w:fill="FFFFFF"/>
          <w:lang w:eastAsia="zh-CN"/>
        </w:rPr>
        <w:t>在区扶贫办转型为乡村振兴局前至今，薛城区乡村振兴局</w:t>
      </w:r>
      <w:r>
        <w:rPr>
          <w:rFonts w:hint="eastAsia" w:ascii="仿宋" w:hAnsi="仿宋" w:eastAsia="仿宋" w:cs="仿宋"/>
          <w:i w:val="0"/>
          <w:iCs w:val="0"/>
          <w:caps w:val="0"/>
          <w:color w:val="000000"/>
          <w:spacing w:val="0"/>
          <w:sz w:val="32"/>
          <w:szCs w:val="32"/>
          <w:shd w:val="clear" w:fill="FFFFFF"/>
        </w:rPr>
        <w:t>高度重视重视人大代表建议、政协提案办理工作,严格落实关于建议提案办理的有关要求,答复做到了合法合规合理合情，建议及提案回复率、满意度均为100%，办理结果已在政府信息公开网站进行了公开。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 二、主动公开政府信息情况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29"/>
        <w:gridCol w:w="2129"/>
        <w:gridCol w:w="2129"/>
        <w:gridCol w:w="212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9000" w:type="dxa"/>
            <w:gridSpan w:val="4"/>
            <w:tcBorders>
              <w:top w:val="single" w:color="auto" w:sz="6" w:space="0"/>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黑体" w:hAnsi="宋体" w:eastAsia="黑体" w:cs="黑体"/>
                <w:color w:val="000000"/>
                <w:sz w:val="21"/>
                <w:szCs w:val="21"/>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信息内容</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本年制发件数</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本年废止件数</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规章</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sz w:val="24"/>
                <w:szCs w:val="24"/>
              </w:rPr>
              <w:t>　　</w:t>
            </w:r>
            <w:r>
              <w:rPr>
                <w:rFonts w:hint="eastAsia" w:ascii="宋体" w:hAnsi="宋体" w:eastAsia="宋体" w:cs="宋体"/>
                <w:color w:val="000000"/>
                <w:sz w:val="21"/>
                <w:szCs w:val="21"/>
              </w:rPr>
              <w:t>0</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 </w:t>
            </w:r>
            <w:r>
              <w:rPr>
                <w:rFonts w:hint="default" w:ascii="仿宋_GB2312" w:eastAsia="仿宋_GB2312" w:cs="仿宋_GB2312"/>
                <w:color w:val="000000"/>
                <w:sz w:val="21"/>
                <w:szCs w:val="21"/>
              </w:rPr>
              <w:t>　</w:t>
            </w:r>
            <w:r>
              <w:rPr>
                <w:rFonts w:hint="eastAsia" w:ascii="宋体" w:hAnsi="宋体" w:eastAsia="宋体" w:cs="宋体"/>
                <w:color w:val="000000"/>
                <w:sz w:val="21"/>
                <w:szCs w:val="21"/>
              </w:rPr>
              <w:t>0</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sz w:val="24"/>
                <w:szCs w:val="24"/>
              </w:rPr>
              <w:t>　</w:t>
            </w:r>
            <w:r>
              <w:rPr>
                <w:rFonts w:hint="eastAsia" w:ascii="宋体" w:hAnsi="宋体" w:eastAsia="宋体" w:cs="宋体"/>
                <w:color w:val="00000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行政规范性文件</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sz w:val="24"/>
                <w:szCs w:val="24"/>
              </w:rPr>
              <w:t>　　</w:t>
            </w:r>
            <w:r>
              <w:rPr>
                <w:rFonts w:hint="eastAsia" w:ascii="宋体" w:hAnsi="宋体" w:eastAsia="宋体" w:cs="宋体"/>
                <w:color w:val="000000"/>
                <w:sz w:val="21"/>
                <w:szCs w:val="21"/>
              </w:rPr>
              <w:t>0</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 </w:t>
            </w:r>
            <w:r>
              <w:rPr>
                <w:rFonts w:hint="default" w:ascii="仿宋_GB2312" w:eastAsia="仿宋_GB2312" w:cs="仿宋_GB2312"/>
                <w:color w:val="000000"/>
                <w:sz w:val="21"/>
                <w:szCs w:val="21"/>
              </w:rPr>
              <w:t>　</w:t>
            </w:r>
            <w:r>
              <w:rPr>
                <w:rFonts w:hint="eastAsia" w:ascii="宋体" w:hAnsi="宋体" w:eastAsia="宋体" w:cs="宋体"/>
                <w:color w:val="000000"/>
                <w:sz w:val="21"/>
                <w:szCs w:val="21"/>
              </w:rPr>
              <w:t>0</w:t>
            </w:r>
          </w:p>
        </w:tc>
        <w:tc>
          <w:tcPr>
            <w:tcW w:w="22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sz w:val="24"/>
                <w:szCs w:val="24"/>
              </w:rPr>
              <w:t>　</w:t>
            </w:r>
            <w:r>
              <w:rPr>
                <w:rFonts w:hint="eastAsia" w:ascii="宋体" w:hAnsi="宋体" w:eastAsia="宋体" w:cs="宋体"/>
                <w:color w:val="00000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900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黑体" w:hAnsi="宋体" w:eastAsia="黑体" w:cs="黑体"/>
                <w:color w:val="000000"/>
                <w:sz w:val="21"/>
                <w:szCs w:val="21"/>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信息内容</w:t>
            </w:r>
          </w:p>
        </w:tc>
        <w:tc>
          <w:tcPr>
            <w:tcW w:w="6750"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行政许可</w:t>
            </w:r>
          </w:p>
        </w:tc>
        <w:tc>
          <w:tcPr>
            <w:tcW w:w="6750"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900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黑体" w:hAnsi="宋体" w:eastAsia="黑体" w:cs="黑体"/>
                <w:color w:val="000000"/>
                <w:sz w:val="21"/>
                <w:szCs w:val="21"/>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信息内容</w:t>
            </w:r>
          </w:p>
        </w:tc>
        <w:tc>
          <w:tcPr>
            <w:tcW w:w="6750"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行政处罚</w:t>
            </w:r>
          </w:p>
        </w:tc>
        <w:tc>
          <w:tcPr>
            <w:tcW w:w="6750"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行政强制</w:t>
            </w:r>
          </w:p>
        </w:tc>
        <w:tc>
          <w:tcPr>
            <w:tcW w:w="6750"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900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黑体" w:hAnsi="宋体" w:eastAsia="黑体" w:cs="黑体"/>
                <w:color w:val="000000"/>
                <w:sz w:val="21"/>
                <w:szCs w:val="21"/>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50"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信息内容</w:t>
            </w:r>
          </w:p>
        </w:tc>
        <w:tc>
          <w:tcPr>
            <w:tcW w:w="6750"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eastAsia" w:ascii="宋体" w:hAnsi="宋体" w:eastAsia="宋体" w:cs="宋体"/>
                <w:color w:val="000000"/>
                <w:sz w:val="21"/>
                <w:szCs w:val="21"/>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225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24"/>
                <w:szCs w:val="24"/>
              </w:rPr>
            </w:pPr>
            <w:r>
              <w:rPr>
                <w:rFonts w:hint="eastAsia" w:ascii="宋体" w:hAnsi="宋体" w:eastAsia="宋体" w:cs="宋体"/>
                <w:color w:val="000000"/>
                <w:sz w:val="21"/>
                <w:szCs w:val="21"/>
              </w:rPr>
              <w:t>行政事业性收费</w:t>
            </w:r>
          </w:p>
        </w:tc>
        <w:tc>
          <w:tcPr>
            <w:tcW w:w="6750"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24"/>
                <w:szCs w:val="24"/>
              </w:rPr>
            </w:pPr>
            <w:r>
              <w:rPr>
                <w:rFonts w:hint="default" w:ascii="仿宋_GB2312" w:hAnsi="宋体" w:eastAsia="仿宋_GB2312" w:cs="仿宋_GB2312"/>
                <w:color w:val="000000"/>
                <w:sz w:val="21"/>
                <w:szCs w:val="21"/>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sz w:val="24"/>
          <w:szCs w:val="24"/>
        </w:rPr>
      </w:pPr>
      <w:r>
        <w:rPr>
          <w:rFonts w:hint="eastAsia" w:ascii="宋体" w:hAnsi="宋体" w:eastAsia="宋体" w:cs="宋体"/>
          <w:i w:val="0"/>
          <w:iCs w:val="0"/>
          <w:caps w:val="0"/>
          <w:color w:val="000000"/>
          <w:spacing w:val="0"/>
          <w:sz w:val="31"/>
          <w:szCs w:val="31"/>
          <w:shd w:val="clear" w:fill="FFFFFF"/>
        </w:rPr>
        <w:t> </w:t>
      </w:r>
      <w:r>
        <w:rPr>
          <w:rFonts w:hint="eastAsia" w:ascii="黑体" w:hAnsi="宋体" w:eastAsia="黑体" w:cs="黑体"/>
          <w:i w:val="0"/>
          <w:iCs w:val="0"/>
          <w:caps w:val="0"/>
          <w:color w:val="000000"/>
          <w:spacing w:val="0"/>
          <w:sz w:val="31"/>
          <w:szCs w:val="31"/>
          <w:shd w:val="clear" w:fill="FFFFFF"/>
        </w:rPr>
        <w:t>三、收到和处理政府信息公开申请情况</w:t>
      </w:r>
    </w:p>
    <w:tbl>
      <w:tblPr>
        <w:tblStyle w:val="6"/>
        <w:tblW w:w="10209"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511"/>
        <w:gridCol w:w="977"/>
        <w:gridCol w:w="1575"/>
        <w:gridCol w:w="512"/>
        <w:gridCol w:w="622"/>
        <w:gridCol w:w="878"/>
        <w:gridCol w:w="795"/>
        <w:gridCol w:w="1198"/>
        <w:gridCol w:w="1065"/>
        <w:gridCol w:w="10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4063"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（本列数据的勾稽关系为：第一项加第二项之和，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等于第三项加第四项之和）</w:t>
            </w:r>
          </w:p>
        </w:tc>
        <w:tc>
          <w:tcPr>
            <w:tcW w:w="6146"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21"/>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406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512"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sz w:val="24"/>
                <w:szCs w:val="24"/>
              </w:rPr>
            </w:pPr>
            <w:r>
              <w:rPr>
                <w:rFonts w:hint="eastAsia" w:ascii="黑体" w:hAnsi="宋体" w:eastAsia="黑体" w:cs="黑体"/>
                <w:sz w:val="21"/>
                <w:szCs w:val="21"/>
              </w:rPr>
              <w:t>自然人</w:t>
            </w:r>
          </w:p>
        </w:tc>
        <w:tc>
          <w:tcPr>
            <w:tcW w:w="4558"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21"/>
                <w:szCs w:val="21"/>
              </w:rPr>
              <w:t>法人或其他组织</w:t>
            </w:r>
          </w:p>
        </w:tc>
        <w:tc>
          <w:tcPr>
            <w:tcW w:w="1076"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jc w:val="center"/>
        </w:trPr>
        <w:tc>
          <w:tcPr>
            <w:tcW w:w="406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51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105" w:firstLine="0"/>
              <w:jc w:val="center"/>
              <w:textAlignment w:val="auto"/>
              <w:rPr>
                <w:sz w:val="24"/>
                <w:szCs w:val="24"/>
              </w:rPr>
            </w:pPr>
            <w:r>
              <w:rPr>
                <w:rFonts w:hint="eastAsia" w:ascii="黑体" w:hAnsi="宋体" w:eastAsia="黑体" w:cs="黑体"/>
                <w:sz w:val="21"/>
                <w:szCs w:val="21"/>
              </w:rPr>
              <w:t>商业企业</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05"/>
              <w:jc w:val="both"/>
              <w:textAlignment w:val="auto"/>
              <w:rPr>
                <w:sz w:val="24"/>
                <w:szCs w:val="24"/>
              </w:rPr>
            </w:pPr>
            <w:r>
              <w:rPr>
                <w:rFonts w:hint="eastAsia" w:ascii="黑体" w:hAnsi="宋体" w:eastAsia="黑体" w:cs="黑体"/>
                <w:sz w:val="21"/>
                <w:szCs w:val="21"/>
              </w:rPr>
              <w:t>科研机构</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05"/>
              <w:jc w:val="both"/>
              <w:textAlignment w:val="auto"/>
              <w:rPr>
                <w:sz w:val="24"/>
                <w:szCs w:val="24"/>
              </w:rPr>
            </w:pPr>
            <w:r>
              <w:rPr>
                <w:rFonts w:hint="eastAsia" w:ascii="黑体" w:hAnsi="宋体" w:eastAsia="黑体" w:cs="黑体"/>
                <w:sz w:val="21"/>
                <w:szCs w:val="21"/>
              </w:rPr>
              <w:t>社会公益组织</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105" w:firstLine="0"/>
              <w:jc w:val="center"/>
              <w:textAlignment w:val="auto"/>
              <w:rPr>
                <w:rFonts w:hint="eastAsia" w:ascii="黑体" w:hAnsi="宋体" w:eastAsia="黑体" w:cs="黑体"/>
                <w:sz w:val="21"/>
                <w:szCs w:val="21"/>
              </w:rPr>
            </w:pPr>
            <w:r>
              <w:rPr>
                <w:rFonts w:hint="eastAsia" w:ascii="黑体" w:hAnsi="宋体" w:eastAsia="黑体" w:cs="黑体"/>
                <w:sz w:val="21"/>
                <w:szCs w:val="21"/>
              </w:rPr>
              <w:t>法律服务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05" w:right="-105" w:firstLine="0"/>
              <w:jc w:val="center"/>
              <w:textAlignment w:val="auto"/>
              <w:rPr>
                <w:sz w:val="24"/>
                <w:szCs w:val="24"/>
              </w:rPr>
            </w:pPr>
            <w:r>
              <w:rPr>
                <w:rFonts w:hint="eastAsia" w:ascii="黑体" w:hAnsi="宋体" w:eastAsia="黑体" w:cs="黑体"/>
                <w:sz w:val="21"/>
                <w:szCs w:val="21"/>
              </w:rPr>
              <w:t>机构</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0" w:right="-135" w:firstLine="420"/>
              <w:jc w:val="center"/>
              <w:textAlignment w:val="auto"/>
              <w:rPr>
                <w:sz w:val="24"/>
                <w:szCs w:val="24"/>
              </w:rPr>
            </w:pPr>
            <w:r>
              <w:rPr>
                <w:rFonts w:hint="eastAsia" w:ascii="黑体" w:hAnsi="宋体" w:eastAsia="黑体" w:cs="黑体"/>
                <w:sz w:val="21"/>
                <w:szCs w:val="21"/>
              </w:rPr>
              <w:t>其他</w:t>
            </w:r>
          </w:p>
        </w:tc>
        <w:tc>
          <w:tcPr>
            <w:tcW w:w="1076"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4063"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一、</w:t>
            </w:r>
            <w:bookmarkStart w:id="0" w:name="_Hlk66973412"/>
            <w:r>
              <w:rPr>
                <w:rFonts w:hint="eastAsia" w:ascii="黑体" w:hAnsi="宋体" w:eastAsia="黑体" w:cs="黑体"/>
                <w:color w:val="333333"/>
                <w:sz w:val="21"/>
                <w:szCs w:val="21"/>
                <w:u w:val="none"/>
              </w:rPr>
              <w:t>本年新收政府信息公开申请数量</w:t>
            </w:r>
            <w:bookmarkEnd w:id="0"/>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4063"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二、上年结转政府信息公开申请数量</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511"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三、本年度办理结果</w:t>
            </w:r>
          </w:p>
        </w:tc>
        <w:tc>
          <w:tcPr>
            <w:tcW w:w="2552"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（一）予以公开</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2552"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（二）部分公开（</w:t>
            </w:r>
            <w:bookmarkStart w:id="1" w:name="_Hlk66973981"/>
            <w:r>
              <w:rPr>
                <w:rFonts w:hint="eastAsia" w:ascii="黑体" w:hAnsi="宋体" w:eastAsia="黑体" w:cs="黑体"/>
                <w:color w:val="333333"/>
                <w:sz w:val="21"/>
                <w:szCs w:val="21"/>
                <w:u w:val="none"/>
              </w:rPr>
              <w:t>区分处理的，只计这一情形，不计其他情形</w:t>
            </w:r>
            <w:bookmarkEnd w:id="1"/>
            <w:r>
              <w:rPr>
                <w:rFonts w:hint="eastAsia" w:ascii="黑体" w:hAnsi="宋体" w:eastAsia="黑体" w:cs="黑体"/>
                <w:sz w:val="21"/>
                <w:szCs w:val="21"/>
              </w:rPr>
              <w:t>）</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（三）不予公开</w:t>
            </w: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1.属于国家秘密</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2.</w:t>
            </w:r>
            <w:bookmarkStart w:id="2" w:name="_Hlk66974104"/>
            <w:r>
              <w:rPr>
                <w:rFonts w:hint="eastAsia" w:ascii="宋体" w:hAnsi="宋体" w:eastAsia="宋体" w:cs="宋体"/>
                <w:color w:val="333333"/>
                <w:sz w:val="21"/>
                <w:szCs w:val="21"/>
                <w:u w:val="none"/>
              </w:rPr>
              <w:t>其他法律行政法规禁止公开</w:t>
            </w:r>
            <w:bookmarkEnd w:id="2"/>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3.危及“三安全一稳定”</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4.</w:t>
            </w:r>
            <w:bookmarkStart w:id="3" w:name="_Hlk66974290"/>
            <w:r>
              <w:rPr>
                <w:rFonts w:hint="eastAsia" w:ascii="宋体" w:hAnsi="宋体" w:eastAsia="宋体" w:cs="宋体"/>
                <w:color w:val="333333"/>
                <w:sz w:val="21"/>
                <w:szCs w:val="21"/>
                <w:u w:val="none"/>
              </w:rPr>
              <w:t>保护第三方合法权益</w:t>
            </w:r>
            <w:bookmarkEnd w:id="3"/>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5.属于三类内部事务信息</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6.</w:t>
            </w:r>
            <w:bookmarkStart w:id="4" w:name="_Hlk66974555"/>
            <w:r>
              <w:rPr>
                <w:rFonts w:hint="eastAsia" w:ascii="宋体" w:hAnsi="宋体" w:eastAsia="宋体" w:cs="宋体"/>
                <w:color w:val="333333"/>
                <w:sz w:val="21"/>
                <w:szCs w:val="21"/>
                <w:u w:val="none"/>
              </w:rPr>
              <w:t>属于四类过程性信息</w:t>
            </w:r>
            <w:bookmarkEnd w:id="4"/>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7.属于行政执法案卷</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8.</w:t>
            </w:r>
            <w:bookmarkStart w:id="5" w:name="_Hlk66975211"/>
            <w:r>
              <w:rPr>
                <w:rFonts w:hint="eastAsia" w:ascii="宋体" w:hAnsi="宋体" w:eastAsia="宋体" w:cs="宋体"/>
                <w:color w:val="333333"/>
                <w:sz w:val="21"/>
                <w:szCs w:val="21"/>
                <w:u w:val="none"/>
              </w:rPr>
              <w:t>属于行政查询事项</w:t>
            </w:r>
            <w:bookmarkEnd w:id="5"/>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（四）无法提供</w:t>
            </w: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1.本机关不掌握相关政府信息</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2.</w:t>
            </w:r>
            <w:bookmarkStart w:id="6" w:name="_Hlk66975392"/>
            <w:r>
              <w:rPr>
                <w:rFonts w:hint="eastAsia" w:ascii="宋体" w:hAnsi="宋体" w:eastAsia="宋体" w:cs="宋体"/>
                <w:color w:val="333333"/>
                <w:sz w:val="21"/>
                <w:szCs w:val="21"/>
                <w:u w:val="none"/>
              </w:rPr>
              <w:t>没有现成信息需要另行制作</w:t>
            </w:r>
            <w:bookmarkEnd w:id="6"/>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3.</w:t>
            </w:r>
            <w:bookmarkStart w:id="7" w:name="_Hlk66975466"/>
            <w:r>
              <w:rPr>
                <w:rFonts w:hint="eastAsia" w:ascii="宋体" w:hAnsi="宋体" w:eastAsia="宋体" w:cs="宋体"/>
                <w:color w:val="333333"/>
                <w:sz w:val="21"/>
                <w:szCs w:val="21"/>
                <w:u w:val="none"/>
              </w:rPr>
              <w:t>补正后申请内容仍不明确</w:t>
            </w:r>
            <w:bookmarkEnd w:id="7"/>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（五）不予处理</w:t>
            </w: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1.</w:t>
            </w:r>
            <w:bookmarkStart w:id="8" w:name="_Hlk66975537"/>
            <w:r>
              <w:rPr>
                <w:rFonts w:hint="eastAsia" w:ascii="宋体" w:hAnsi="宋体" w:eastAsia="宋体" w:cs="宋体"/>
                <w:color w:val="333333"/>
                <w:sz w:val="21"/>
                <w:szCs w:val="21"/>
                <w:u w:val="none"/>
              </w:rPr>
              <w:t>信访举报投诉类申请</w:t>
            </w:r>
            <w:bookmarkEnd w:id="8"/>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2.重复申请</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3.要求提供公开出版物</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4.无正当理由大量反复申请</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5.要求行政机关确认或重新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出具已获取信息</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黑体" w:hAnsi="宋体" w:eastAsia="黑体" w:cs="黑体"/>
                <w:sz w:val="21"/>
                <w:szCs w:val="21"/>
              </w:rPr>
              <w:t>（六）其他处理</w:t>
            </w:r>
          </w:p>
        </w:tc>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1.申请人无正当理由逾期不补正、行政机关不再处理其政府信息公开申请</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2.申请人逾期未按收费通知要求缴纳费用、行政机关不再处理其政府信息公开申请</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977"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1575" w:type="dxa"/>
            <w:tcBorders>
              <w:top w:val="single" w:color="auto" w:sz="6" w:space="0"/>
              <w:left w:val="single" w:color="auto" w:sz="6" w:space="0"/>
              <w:bottom w:val="single" w:color="auto" w:sz="6" w:space="0"/>
              <w:right w:val="single" w:color="auto" w:sz="6"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textAlignment w:val="auto"/>
              <w:rPr>
                <w:sz w:val="24"/>
                <w:szCs w:val="24"/>
              </w:rPr>
            </w:pPr>
            <w:r>
              <w:rPr>
                <w:rFonts w:hint="eastAsia" w:ascii="宋体" w:hAnsi="宋体" w:eastAsia="宋体" w:cs="宋体"/>
                <w:sz w:val="21"/>
                <w:szCs w:val="21"/>
              </w:rPr>
              <w:t>3.其他</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1511"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textAlignment w:val="auto"/>
              <w:rPr>
                <w:rFonts w:hint="eastAsia" w:ascii="宋体"/>
                <w:sz w:val="24"/>
                <w:szCs w:val="24"/>
              </w:rPr>
            </w:pPr>
          </w:p>
        </w:tc>
        <w:tc>
          <w:tcPr>
            <w:tcW w:w="2552"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sz w:val="24"/>
                <w:szCs w:val="24"/>
              </w:rPr>
            </w:pPr>
            <w:r>
              <w:rPr>
                <w:rFonts w:hint="eastAsia" w:ascii="黑体" w:hAnsi="宋体" w:eastAsia="黑体" w:cs="黑体"/>
                <w:sz w:val="21"/>
                <w:szCs w:val="21"/>
              </w:rPr>
              <w:t>（七）总计</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rFonts w:hint="eastAsia" w:eastAsiaTheme="minorEastAsia"/>
                <w:sz w:val="24"/>
                <w:szCs w:val="24"/>
                <w:lang w:eastAsia="zh-CN"/>
              </w:rPr>
            </w:pPr>
            <w:r>
              <w:rPr>
                <w:rFonts w:hint="eastAsia" w:ascii="宋体" w:hAnsi="宋体" w:eastAsia="宋体" w:cs="宋体"/>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4063"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textAlignment w:val="auto"/>
              <w:rPr>
                <w:sz w:val="24"/>
                <w:szCs w:val="24"/>
              </w:rPr>
            </w:pPr>
            <w:r>
              <w:rPr>
                <w:rFonts w:hint="eastAsia" w:ascii="黑体" w:hAnsi="宋体" w:eastAsia="黑体" w:cs="黑体"/>
                <w:sz w:val="21"/>
                <w:szCs w:val="21"/>
              </w:rPr>
              <w:t>四、结转下年度继续办理</w:t>
            </w:r>
          </w:p>
        </w:tc>
        <w:tc>
          <w:tcPr>
            <w:tcW w:w="5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6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87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79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1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6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c>
          <w:tcPr>
            <w:tcW w:w="107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宋体" w:hAnsi="宋体" w:eastAsia="宋体" w:cs="宋体"/>
                <w:sz w:val="21"/>
                <w:szCs w:val="21"/>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黑体" w:hAnsi="宋体" w:eastAsia="黑体" w:cs="黑体"/>
          <w:i w:val="0"/>
          <w:iCs w:val="0"/>
          <w:caps w:val="0"/>
          <w:color w:val="000000"/>
          <w:spacing w:val="0"/>
          <w:sz w:val="31"/>
          <w:szCs w:val="31"/>
          <w:shd w:val="clear" w:fill="FFFFFF"/>
        </w:rPr>
      </w:pPr>
      <w:r>
        <w:rPr>
          <w:rFonts w:hint="eastAsia" w:ascii="黑体" w:hAnsi="宋体" w:eastAsia="黑体" w:cs="黑体"/>
          <w:i w:val="0"/>
          <w:iCs w:val="0"/>
          <w:caps w:val="0"/>
          <w:color w:val="000000"/>
          <w:spacing w:val="0"/>
          <w:sz w:val="31"/>
          <w:szCs w:val="31"/>
          <w:shd w:val="clear"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32"/>
          <w:szCs w:val="32"/>
        </w:rPr>
      </w:pPr>
      <w:r>
        <w:rPr>
          <w:rFonts w:hint="eastAsia" w:ascii="黑体" w:hAnsi="宋体" w:eastAsia="黑体" w:cs="黑体"/>
          <w:i w:val="0"/>
          <w:iCs w:val="0"/>
          <w:caps w:val="0"/>
          <w:color w:val="000000"/>
          <w:spacing w:val="0"/>
          <w:sz w:val="32"/>
          <w:szCs w:val="32"/>
          <w:shd w:val="clear" w:fill="FFFFFF"/>
        </w:rPr>
        <w:t>四、因政府信息公开工作被申请行政复议、提起行政诉讼情况</w:t>
      </w:r>
    </w:p>
    <w:tbl>
      <w:tblPr>
        <w:tblStyle w:val="6"/>
        <w:tblW w:w="982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88"/>
        <w:gridCol w:w="690"/>
        <w:gridCol w:w="714"/>
        <w:gridCol w:w="556"/>
        <w:gridCol w:w="635"/>
        <w:gridCol w:w="533"/>
        <w:gridCol w:w="556"/>
        <w:gridCol w:w="726"/>
        <w:gridCol w:w="945"/>
        <w:gridCol w:w="615"/>
        <w:gridCol w:w="570"/>
        <w:gridCol w:w="555"/>
        <w:gridCol w:w="705"/>
        <w:gridCol w:w="570"/>
        <w:gridCol w:w="7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jc w:val="center"/>
        </w:trPr>
        <w:tc>
          <w:tcPr>
            <w:tcW w:w="3283"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19"/>
                <w:szCs w:val="19"/>
              </w:rPr>
              <w:t>行政复议</w:t>
            </w:r>
          </w:p>
        </w:tc>
        <w:tc>
          <w:tcPr>
            <w:tcW w:w="6537"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0" w:hRule="atLeast"/>
          <w:jc w:val="center"/>
        </w:trPr>
        <w:tc>
          <w:tcPr>
            <w:tcW w:w="68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65"/>
              <w:jc w:val="both"/>
              <w:textAlignment w:val="auto"/>
              <w:rPr>
                <w:rFonts w:hint="eastAsia" w:ascii="黑体" w:hAnsi="宋体" w:eastAsia="黑体" w:cs="黑体"/>
                <w:sz w:val="19"/>
                <w:szCs w:val="19"/>
              </w:rPr>
            </w:pPr>
            <w:r>
              <w:rPr>
                <w:rFonts w:hint="eastAsia" w:ascii="黑体" w:hAnsi="宋体" w:eastAsia="黑体" w:cs="黑体"/>
                <w:sz w:val="19"/>
                <w:szCs w:val="19"/>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65"/>
              <w:jc w:val="both"/>
              <w:textAlignment w:val="auto"/>
              <w:rPr>
                <w:sz w:val="24"/>
                <w:szCs w:val="24"/>
              </w:rPr>
            </w:pPr>
            <w:r>
              <w:rPr>
                <w:rFonts w:hint="eastAsia" w:ascii="黑体" w:hAnsi="宋体" w:eastAsia="黑体" w:cs="黑体"/>
                <w:sz w:val="19"/>
                <w:szCs w:val="19"/>
              </w:rPr>
              <w:t>维持</w:t>
            </w:r>
          </w:p>
        </w:tc>
        <w:tc>
          <w:tcPr>
            <w:tcW w:w="69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45" w:right="-135" w:firstLine="0"/>
              <w:jc w:val="center"/>
              <w:textAlignment w:val="auto"/>
              <w:rPr>
                <w:rFonts w:hint="eastAsia" w:ascii="黑体" w:hAnsi="宋体" w:eastAsia="黑体" w:cs="黑体"/>
                <w:sz w:val="19"/>
                <w:szCs w:val="19"/>
              </w:rPr>
            </w:pPr>
            <w:r>
              <w:rPr>
                <w:rFonts w:hint="eastAsia" w:ascii="黑体" w:hAnsi="宋体" w:eastAsia="黑体" w:cs="黑体"/>
                <w:sz w:val="19"/>
                <w:szCs w:val="19"/>
              </w:rPr>
              <w:t>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45" w:right="-135" w:firstLine="0"/>
              <w:jc w:val="center"/>
              <w:textAlignment w:val="auto"/>
              <w:rPr>
                <w:sz w:val="24"/>
                <w:szCs w:val="24"/>
              </w:rPr>
            </w:pPr>
            <w:r>
              <w:rPr>
                <w:rFonts w:hint="eastAsia" w:ascii="黑体" w:hAnsi="宋体" w:eastAsia="黑体" w:cs="黑体"/>
                <w:sz w:val="19"/>
                <w:szCs w:val="19"/>
              </w:rPr>
              <w:t>纠正</w:t>
            </w:r>
          </w:p>
        </w:tc>
        <w:tc>
          <w:tcPr>
            <w:tcW w:w="714"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90"/>
              <w:jc w:val="center"/>
              <w:textAlignment w:val="auto"/>
              <w:rPr>
                <w:rFonts w:hint="eastAsia" w:ascii="黑体" w:hAnsi="宋体" w:eastAsia="黑体" w:cs="黑体"/>
                <w:sz w:val="19"/>
                <w:szCs w:val="19"/>
              </w:rPr>
            </w:pPr>
            <w:r>
              <w:rPr>
                <w:rFonts w:hint="eastAsia" w:ascii="黑体" w:hAnsi="宋体" w:eastAsia="黑体" w:cs="黑体"/>
                <w:sz w:val="19"/>
                <w:szCs w:val="19"/>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90"/>
              <w:jc w:val="center"/>
              <w:textAlignment w:val="auto"/>
              <w:rPr>
                <w:sz w:val="24"/>
                <w:szCs w:val="24"/>
              </w:rPr>
            </w:pPr>
            <w:r>
              <w:rPr>
                <w:rFonts w:hint="eastAsia" w:ascii="黑体" w:hAnsi="宋体" w:eastAsia="黑体" w:cs="黑体"/>
                <w:sz w:val="19"/>
                <w:szCs w:val="19"/>
              </w:rPr>
              <w:t>结果</w:t>
            </w:r>
          </w:p>
        </w:tc>
        <w:tc>
          <w:tcPr>
            <w:tcW w:w="556"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20"/>
              <w:jc w:val="center"/>
              <w:textAlignment w:val="auto"/>
              <w:rPr>
                <w:sz w:val="24"/>
                <w:szCs w:val="24"/>
              </w:rPr>
            </w:pPr>
            <w:r>
              <w:rPr>
                <w:rFonts w:hint="eastAsia" w:ascii="黑体" w:hAnsi="宋体" w:eastAsia="黑体" w:cs="黑体"/>
                <w:sz w:val="19"/>
                <w:szCs w:val="19"/>
              </w:rPr>
              <w:t>尚未审结</w:t>
            </w:r>
          </w:p>
        </w:tc>
        <w:tc>
          <w:tcPr>
            <w:tcW w:w="63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sz w:val="24"/>
                <w:szCs w:val="24"/>
              </w:rPr>
            </w:pPr>
            <w:r>
              <w:rPr>
                <w:rFonts w:hint="eastAsia" w:ascii="黑体" w:hAnsi="宋体" w:eastAsia="黑体" w:cs="黑体"/>
                <w:sz w:val="19"/>
                <w:szCs w:val="19"/>
              </w:rPr>
              <w:t>总计</w:t>
            </w:r>
          </w:p>
        </w:tc>
        <w:tc>
          <w:tcPr>
            <w:tcW w:w="337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r>
              <w:rPr>
                <w:rFonts w:hint="eastAsia" w:ascii="黑体" w:hAnsi="宋体" w:eastAsia="黑体" w:cs="黑体"/>
                <w:sz w:val="19"/>
                <w:szCs w:val="19"/>
              </w:rPr>
              <w:t>未经复议直接起诉</w:t>
            </w:r>
          </w:p>
        </w:tc>
        <w:tc>
          <w:tcPr>
            <w:tcW w:w="3162"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jc w:val="center"/>
              <w:textAlignment w:val="auto"/>
              <w:rPr>
                <w:sz w:val="24"/>
                <w:szCs w:val="24"/>
              </w:rPr>
            </w:pPr>
            <w:bookmarkStart w:id="9" w:name="_Hlk67039688"/>
            <w:r>
              <w:rPr>
                <w:rFonts w:hint="eastAsia" w:ascii="黑体" w:hAnsi="宋体" w:eastAsia="黑体" w:cs="黑体"/>
                <w:color w:val="333333"/>
                <w:sz w:val="19"/>
                <w:szCs w:val="19"/>
                <w:u w:val="none"/>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688"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sz w:val="24"/>
                <w:szCs w:val="24"/>
              </w:rPr>
            </w:pPr>
          </w:p>
        </w:tc>
        <w:tc>
          <w:tcPr>
            <w:tcW w:w="690" w:type="dxa"/>
            <w:vMerge w:val="continue"/>
            <w:tcBorders>
              <w:top w:val="nil"/>
              <w:left w:val="nil"/>
              <w:bottom w:val="nil"/>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sz w:val="24"/>
                <w:szCs w:val="24"/>
              </w:rPr>
            </w:pPr>
          </w:p>
        </w:tc>
        <w:tc>
          <w:tcPr>
            <w:tcW w:w="714"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sz w:val="24"/>
                <w:szCs w:val="24"/>
              </w:rPr>
            </w:pPr>
          </w:p>
        </w:tc>
        <w:tc>
          <w:tcPr>
            <w:tcW w:w="556"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sz w:val="24"/>
                <w:szCs w:val="24"/>
              </w:rPr>
            </w:pPr>
          </w:p>
        </w:tc>
        <w:tc>
          <w:tcPr>
            <w:tcW w:w="63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sz w:val="24"/>
                <w:szCs w:val="24"/>
              </w:rPr>
            </w:pPr>
          </w:p>
        </w:tc>
        <w:tc>
          <w:tcPr>
            <w:tcW w:w="533" w:type="dxa"/>
            <w:tcBorders>
              <w:top w:val="nil"/>
              <w:left w:val="nil"/>
              <w:bottom w:val="nil"/>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20"/>
              <w:jc w:val="center"/>
              <w:textAlignment w:val="auto"/>
              <w:rPr>
                <w:sz w:val="24"/>
                <w:szCs w:val="24"/>
              </w:rPr>
            </w:pPr>
            <w:r>
              <w:rPr>
                <w:rFonts w:hint="eastAsia" w:ascii="黑体" w:hAnsi="宋体" w:eastAsia="黑体" w:cs="黑体"/>
                <w:sz w:val="19"/>
                <w:szCs w:val="19"/>
              </w:rPr>
              <w:t>结果维持</w:t>
            </w:r>
          </w:p>
        </w:tc>
        <w:tc>
          <w:tcPr>
            <w:tcW w:w="556" w:type="dxa"/>
            <w:tcBorders>
              <w:top w:val="nil"/>
              <w:left w:val="nil"/>
              <w:bottom w:val="nil"/>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90"/>
              <w:jc w:val="center"/>
              <w:textAlignment w:val="auto"/>
              <w:rPr>
                <w:sz w:val="24"/>
                <w:szCs w:val="24"/>
              </w:rPr>
            </w:pPr>
            <w:r>
              <w:rPr>
                <w:rFonts w:hint="eastAsia" w:ascii="黑体" w:hAnsi="宋体" w:eastAsia="黑体" w:cs="黑体"/>
                <w:sz w:val="19"/>
                <w:szCs w:val="19"/>
              </w:rPr>
              <w:t>结果纠正</w:t>
            </w:r>
          </w:p>
        </w:tc>
        <w:tc>
          <w:tcPr>
            <w:tcW w:w="72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35"/>
              <w:jc w:val="center"/>
              <w:textAlignment w:val="auto"/>
              <w:rPr>
                <w:rFonts w:hint="eastAsia" w:ascii="黑体" w:hAnsi="宋体" w:eastAsia="黑体" w:cs="黑体"/>
                <w:sz w:val="19"/>
                <w:szCs w:val="19"/>
              </w:rPr>
            </w:pPr>
            <w:r>
              <w:rPr>
                <w:rFonts w:hint="eastAsia" w:ascii="黑体" w:hAnsi="宋体" w:eastAsia="黑体" w:cs="黑体"/>
                <w:sz w:val="19"/>
                <w:szCs w:val="19"/>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35"/>
              <w:jc w:val="center"/>
              <w:textAlignment w:val="auto"/>
              <w:rPr>
                <w:sz w:val="24"/>
                <w:szCs w:val="24"/>
              </w:rPr>
            </w:pPr>
            <w:r>
              <w:rPr>
                <w:rFonts w:hint="eastAsia" w:ascii="黑体" w:hAnsi="宋体" w:eastAsia="黑体" w:cs="黑体"/>
                <w:sz w:val="19"/>
                <w:szCs w:val="19"/>
              </w:rPr>
              <w:t>结果</w:t>
            </w:r>
          </w:p>
        </w:tc>
        <w:tc>
          <w:tcPr>
            <w:tcW w:w="9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65" w:right="-150" w:firstLine="420"/>
              <w:jc w:val="both"/>
              <w:textAlignment w:val="auto"/>
              <w:rPr>
                <w:sz w:val="24"/>
                <w:szCs w:val="24"/>
              </w:rPr>
            </w:pPr>
            <w:r>
              <w:rPr>
                <w:rFonts w:hint="eastAsia" w:ascii="黑体" w:hAnsi="宋体" w:eastAsia="黑体" w:cs="黑体"/>
                <w:sz w:val="19"/>
                <w:szCs w:val="19"/>
              </w:rPr>
              <w:t>尚未</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65" w:right="-150" w:firstLine="420"/>
              <w:jc w:val="both"/>
              <w:textAlignment w:val="auto"/>
              <w:rPr>
                <w:sz w:val="24"/>
                <w:szCs w:val="24"/>
              </w:rPr>
            </w:pPr>
            <w:r>
              <w:rPr>
                <w:rFonts w:hint="eastAsia" w:ascii="黑体" w:hAnsi="宋体" w:eastAsia="黑体" w:cs="黑体"/>
                <w:sz w:val="19"/>
                <w:szCs w:val="19"/>
              </w:rPr>
              <w:t>审结</w:t>
            </w:r>
          </w:p>
        </w:tc>
        <w:tc>
          <w:tcPr>
            <w:tcW w:w="61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sz w:val="24"/>
                <w:szCs w:val="24"/>
              </w:rPr>
            </w:pPr>
            <w:r>
              <w:rPr>
                <w:rFonts w:hint="eastAsia" w:ascii="黑体" w:hAnsi="宋体" w:eastAsia="黑体" w:cs="黑体"/>
                <w:sz w:val="19"/>
                <w:szCs w:val="19"/>
              </w:rPr>
              <w:t>总计</w:t>
            </w:r>
          </w:p>
        </w:tc>
        <w:tc>
          <w:tcPr>
            <w:tcW w:w="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75"/>
              <w:jc w:val="center"/>
              <w:textAlignment w:val="auto"/>
              <w:rPr>
                <w:sz w:val="24"/>
                <w:szCs w:val="24"/>
              </w:rPr>
            </w:pPr>
            <w:r>
              <w:rPr>
                <w:rFonts w:hint="eastAsia" w:ascii="黑体" w:hAnsi="宋体" w:eastAsia="黑体" w:cs="黑体"/>
                <w:sz w:val="19"/>
                <w:szCs w:val="19"/>
              </w:rPr>
              <w:t>结果维持</w:t>
            </w:r>
          </w:p>
        </w:tc>
        <w:tc>
          <w:tcPr>
            <w:tcW w:w="5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20"/>
              <w:jc w:val="center"/>
              <w:textAlignment w:val="auto"/>
              <w:rPr>
                <w:sz w:val="24"/>
                <w:szCs w:val="24"/>
              </w:rPr>
            </w:pPr>
            <w:r>
              <w:rPr>
                <w:rFonts w:hint="eastAsia" w:ascii="黑体" w:hAnsi="宋体" w:eastAsia="黑体" w:cs="黑体"/>
                <w:sz w:val="19"/>
                <w:szCs w:val="19"/>
              </w:rPr>
              <w:t>结果纠正</w:t>
            </w:r>
          </w:p>
        </w:tc>
        <w:tc>
          <w:tcPr>
            <w:tcW w:w="7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80" w:right="-135" w:firstLine="0"/>
              <w:jc w:val="center"/>
              <w:textAlignment w:val="auto"/>
              <w:rPr>
                <w:sz w:val="24"/>
                <w:szCs w:val="24"/>
              </w:rPr>
            </w:pPr>
            <w:r>
              <w:rPr>
                <w:rFonts w:hint="eastAsia" w:ascii="黑体" w:hAnsi="宋体" w:eastAsia="黑体" w:cs="黑体"/>
                <w:sz w:val="19"/>
                <w:szCs w:val="19"/>
              </w:rPr>
              <w:t>其他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80" w:right="-135" w:firstLine="0"/>
              <w:jc w:val="center"/>
              <w:textAlignment w:val="auto"/>
              <w:rPr>
                <w:sz w:val="24"/>
                <w:szCs w:val="24"/>
              </w:rPr>
            </w:pPr>
            <w:r>
              <w:rPr>
                <w:rFonts w:hint="eastAsia" w:ascii="黑体" w:hAnsi="宋体" w:eastAsia="黑体" w:cs="黑体"/>
                <w:sz w:val="19"/>
                <w:szCs w:val="19"/>
              </w:rPr>
              <w:t>结果</w:t>
            </w:r>
          </w:p>
        </w:tc>
        <w:tc>
          <w:tcPr>
            <w:tcW w:w="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0" w:right="-105" w:firstLine="0"/>
              <w:jc w:val="center"/>
              <w:textAlignment w:val="auto"/>
              <w:rPr>
                <w:sz w:val="24"/>
                <w:szCs w:val="24"/>
              </w:rPr>
            </w:pPr>
            <w:r>
              <w:rPr>
                <w:rFonts w:hint="eastAsia" w:ascii="黑体" w:hAnsi="宋体" w:eastAsia="黑体" w:cs="黑体"/>
                <w:sz w:val="19"/>
                <w:szCs w:val="19"/>
              </w:rPr>
              <w:t>尚未审结</w:t>
            </w:r>
          </w:p>
        </w:tc>
        <w:tc>
          <w:tcPr>
            <w:tcW w:w="7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sz w:val="24"/>
                <w:szCs w:val="24"/>
              </w:rPr>
            </w:pPr>
            <w:r>
              <w:rPr>
                <w:rFonts w:hint="eastAsia" w:ascii="黑体" w:hAnsi="宋体" w:eastAsia="黑体" w:cs="黑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0" w:hRule="atLeast"/>
          <w:jc w:val="center"/>
        </w:trPr>
        <w:tc>
          <w:tcPr>
            <w:tcW w:w="68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6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71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55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63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c>
          <w:tcPr>
            <w:tcW w:w="53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2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55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9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72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35"/>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9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65" w:right="-150" w:firstLine="42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61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75"/>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55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12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7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180" w:right="-135" w:firstLine="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60" w:right="-105" w:firstLine="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c>
          <w:tcPr>
            <w:tcW w:w="76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黑体" w:hAnsi="宋体" w:eastAsia="黑体" w:cs="黑体"/>
                <w:sz w:val="19"/>
                <w:szCs w:val="19"/>
                <w:lang w:val="en-US" w:eastAsia="zh-CN"/>
              </w:rPr>
            </w:pPr>
            <w:r>
              <w:rPr>
                <w:rFonts w:hint="eastAsia" w:ascii="黑体" w:hAnsi="宋体" w:eastAsia="黑体" w:cs="黑体"/>
                <w:sz w:val="19"/>
                <w:szCs w:val="19"/>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shd w:val="clear" w:fill="FFFFFF"/>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320" w:firstLineChars="10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lang w:eastAsia="zh-CN"/>
        </w:rPr>
        <w:t>经过不断学习改进，</w:t>
      </w:r>
      <w:r>
        <w:rPr>
          <w:rFonts w:hint="eastAsia" w:ascii="仿宋" w:hAnsi="仿宋" w:eastAsia="仿宋" w:cs="仿宋"/>
          <w:i w:val="0"/>
          <w:iCs w:val="0"/>
          <w:caps w:val="0"/>
          <w:color w:val="000000"/>
          <w:spacing w:val="0"/>
          <w:sz w:val="32"/>
          <w:szCs w:val="32"/>
          <w:shd w:val="clear" w:fill="FFFFFF"/>
        </w:rPr>
        <w:t>区</w:t>
      </w:r>
      <w:r>
        <w:rPr>
          <w:rFonts w:hint="eastAsia" w:ascii="仿宋" w:hAnsi="仿宋" w:eastAsia="仿宋" w:cs="仿宋"/>
          <w:i w:val="0"/>
          <w:iCs w:val="0"/>
          <w:caps w:val="0"/>
          <w:color w:val="000000"/>
          <w:spacing w:val="0"/>
          <w:sz w:val="32"/>
          <w:szCs w:val="32"/>
          <w:shd w:val="clear" w:fill="FFFFFF"/>
          <w:lang w:eastAsia="zh-CN"/>
        </w:rPr>
        <w:t>乡村振兴局</w:t>
      </w:r>
      <w:r>
        <w:rPr>
          <w:rFonts w:hint="eastAsia" w:ascii="仿宋" w:hAnsi="仿宋" w:eastAsia="仿宋" w:cs="仿宋"/>
          <w:i w:val="0"/>
          <w:iCs w:val="0"/>
          <w:caps w:val="0"/>
          <w:color w:val="000000"/>
          <w:spacing w:val="0"/>
          <w:sz w:val="32"/>
          <w:szCs w:val="32"/>
          <w:shd w:val="clear" w:fill="FFFFFF"/>
        </w:rPr>
        <w:t>信息公开工作</w:t>
      </w:r>
      <w:r>
        <w:rPr>
          <w:rFonts w:hint="eastAsia" w:ascii="仿宋" w:hAnsi="仿宋" w:eastAsia="仿宋" w:cs="仿宋"/>
          <w:i w:val="0"/>
          <w:iCs w:val="0"/>
          <w:caps w:val="0"/>
          <w:color w:val="000000"/>
          <w:spacing w:val="0"/>
          <w:sz w:val="32"/>
          <w:szCs w:val="32"/>
          <w:shd w:val="clear" w:fill="FFFFFF"/>
          <w:lang w:eastAsia="zh-CN"/>
        </w:rPr>
        <w:t>目前已</w:t>
      </w:r>
      <w:r>
        <w:rPr>
          <w:rFonts w:hint="eastAsia" w:ascii="仿宋" w:hAnsi="仿宋" w:eastAsia="仿宋" w:cs="仿宋"/>
          <w:i w:val="0"/>
          <w:iCs w:val="0"/>
          <w:caps w:val="0"/>
          <w:color w:val="000000"/>
          <w:spacing w:val="0"/>
          <w:sz w:val="32"/>
          <w:szCs w:val="32"/>
          <w:shd w:val="clear" w:fill="FFFFFF"/>
        </w:rPr>
        <w:t>建立起政府信息公开框架，制定较为完善的制度，但对政务信息公开工作的重要性、时效性和规范性等方面还需进一步</w:t>
      </w:r>
      <w:r>
        <w:rPr>
          <w:rFonts w:hint="eastAsia" w:ascii="仿宋" w:hAnsi="仿宋" w:eastAsia="仿宋" w:cs="仿宋"/>
          <w:i w:val="0"/>
          <w:iCs w:val="0"/>
          <w:caps w:val="0"/>
          <w:color w:val="000000"/>
          <w:spacing w:val="0"/>
          <w:sz w:val="32"/>
          <w:szCs w:val="32"/>
          <w:shd w:val="clear" w:fill="FFFFFF"/>
          <w:lang w:eastAsia="zh-CN"/>
        </w:rPr>
        <w:t>提升改进</w:t>
      </w:r>
      <w:r>
        <w:rPr>
          <w:rFonts w:hint="eastAsia" w:ascii="仿宋" w:hAnsi="仿宋" w:eastAsia="仿宋" w:cs="仿宋"/>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下步，我局将依据《中华人民共和国政府信息公开条例》，继续</w:t>
      </w:r>
      <w:r>
        <w:rPr>
          <w:rFonts w:hint="eastAsia" w:ascii="仿宋" w:hAnsi="仿宋" w:eastAsia="仿宋" w:cs="仿宋"/>
          <w:i w:val="0"/>
          <w:iCs w:val="0"/>
          <w:caps w:val="0"/>
          <w:color w:val="000000"/>
          <w:spacing w:val="0"/>
          <w:sz w:val="32"/>
          <w:szCs w:val="32"/>
          <w:shd w:val="clear" w:fill="FFFFFF"/>
          <w:lang w:eastAsia="zh-CN"/>
        </w:rPr>
        <w:t>强化组织领导，提高对政府信息公开工作的重视程度，进一步</w:t>
      </w:r>
      <w:r>
        <w:rPr>
          <w:rFonts w:hint="eastAsia" w:ascii="仿宋" w:hAnsi="仿宋" w:eastAsia="仿宋" w:cs="仿宋"/>
          <w:i w:val="0"/>
          <w:iCs w:val="0"/>
          <w:caps w:val="0"/>
          <w:color w:val="000000"/>
          <w:spacing w:val="0"/>
          <w:sz w:val="32"/>
          <w:szCs w:val="32"/>
          <w:shd w:val="clear" w:fill="FFFFFF"/>
        </w:rPr>
        <w:t>强化专人负责</w:t>
      </w:r>
      <w:r>
        <w:rPr>
          <w:rFonts w:hint="eastAsia" w:ascii="仿宋" w:hAnsi="仿宋" w:eastAsia="仿宋" w:cs="仿宋"/>
          <w:i w:val="0"/>
          <w:iCs w:val="0"/>
          <w:caps w:val="0"/>
          <w:color w:val="000000"/>
          <w:spacing w:val="0"/>
          <w:sz w:val="32"/>
          <w:szCs w:val="32"/>
          <w:shd w:val="clear" w:fill="FFFFFF"/>
          <w:lang w:eastAsia="zh-CN"/>
        </w:rPr>
        <w:t>且</w:t>
      </w:r>
      <w:r>
        <w:rPr>
          <w:rFonts w:hint="eastAsia" w:ascii="仿宋" w:hAnsi="仿宋" w:eastAsia="仿宋" w:cs="仿宋"/>
          <w:i w:val="0"/>
          <w:iCs w:val="0"/>
          <w:caps w:val="0"/>
          <w:color w:val="000000"/>
          <w:spacing w:val="0"/>
          <w:sz w:val="32"/>
          <w:szCs w:val="32"/>
          <w:shd w:val="clear" w:fill="FFFFFF"/>
        </w:rPr>
        <w:t>明确工作职责，增强工作人员政务公开意识，提高政府信息采集、编辑能力，努力提高政府信息公开水平，及时发布各类政务信息，提升工作的透明度，提升群众满意度</w:t>
      </w:r>
      <w:r>
        <w:rPr>
          <w:rFonts w:hint="eastAsia" w:ascii="仿宋" w:hAnsi="仿宋" w:eastAsia="仿宋" w:cs="仿宋"/>
          <w:i w:val="0"/>
          <w:iCs w:val="0"/>
          <w:caps w:val="0"/>
          <w:color w:val="000000"/>
          <w:spacing w:val="0"/>
          <w:sz w:val="32"/>
          <w:szCs w:val="32"/>
          <w:shd w:val="clear" w:fill="FFFFFF"/>
          <w:lang w:eastAsia="zh-CN"/>
        </w:rPr>
        <w:t>，确保上级信息公开工作部署落实到位</w:t>
      </w:r>
      <w:r>
        <w:rPr>
          <w:rFonts w:hint="eastAsia" w:ascii="仿宋" w:hAnsi="仿宋" w:eastAsia="仿宋" w:cs="仿宋"/>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薛城区乡村振兴局</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2022年1月24日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725BB"/>
    <w:multiLevelType w:val="singleLevel"/>
    <w:tmpl w:val="A8D725BB"/>
    <w:lvl w:ilvl="0" w:tentative="0">
      <w:start w:val="5"/>
      <w:numFmt w:val="chineseCounting"/>
      <w:suff w:val="nothing"/>
      <w:lvlText w:val="（%1）"/>
      <w:lvlJc w:val="left"/>
      <w:rPr>
        <w:rFonts w:hint="eastAsia"/>
      </w:rPr>
    </w:lvl>
  </w:abstractNum>
  <w:abstractNum w:abstractNumId="1">
    <w:nsid w:val="E4B49D40"/>
    <w:multiLevelType w:val="singleLevel"/>
    <w:tmpl w:val="E4B49D4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757B1"/>
    <w:rsid w:val="06C278B5"/>
    <w:rsid w:val="1AA749A0"/>
    <w:rsid w:val="1B1E1106"/>
    <w:rsid w:val="1DB909C8"/>
    <w:rsid w:val="1EC57AB4"/>
    <w:rsid w:val="2AB20944"/>
    <w:rsid w:val="2AC12217"/>
    <w:rsid w:val="2C681FC8"/>
    <w:rsid w:val="2D60068C"/>
    <w:rsid w:val="2E777DAD"/>
    <w:rsid w:val="3B0D4B34"/>
    <w:rsid w:val="3DD61352"/>
    <w:rsid w:val="42D635B0"/>
    <w:rsid w:val="44134CD1"/>
    <w:rsid w:val="47305446"/>
    <w:rsid w:val="4D257A3F"/>
    <w:rsid w:val="4E6F51FA"/>
    <w:rsid w:val="4F3757B1"/>
    <w:rsid w:val="570E45A3"/>
    <w:rsid w:val="59215148"/>
    <w:rsid w:val="5B9F0F34"/>
    <w:rsid w:val="698F00A6"/>
    <w:rsid w:val="6F1D0EF1"/>
    <w:rsid w:val="78B8160A"/>
    <w:rsid w:val="7C887303"/>
    <w:rsid w:val="7FD84A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2022-01-24T08:38:00Z</dcterms:created>
  <dc:creator>装饰的梦</dc:creator>
  <cp:lastModifiedBy>Administrator</cp:lastModifiedBy>
  <dcterms:modified xsi:type="dcterms:W3CDTF">2022-01-26T02:52:53Z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70C85FFADA654E0A9E6E292302A6AACC</vt:lpwstr>
  </property>
</Properties>
</file>