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30" w:lineRule="atLeast"/>
        <w:ind w:left="0" w:leftChars="0" w:right="0" w:firstLine="0" w:firstLineChars="0"/>
        <w:jc w:val="center"/>
        <w:rPr>
          <w:rFonts w:hint="default" w:ascii="Times New Roman" w:hAnsi="Times New Roman" w:eastAsia="方正公文小标宋" w:cs="Times New Roman"/>
          <w:sz w:val="13"/>
          <w:szCs w:val="13"/>
        </w:rPr>
      </w:pPr>
      <w:r>
        <w:rPr>
          <w:rFonts w:hint="default" w:ascii="Times New Roman" w:hAnsi="Times New Roman" w:eastAsia="宋体" w:cs="Times New Roman"/>
          <w:sz w:val="48"/>
          <w:szCs w:val="48"/>
        </w:rPr>
        <w:br w:type="textWrapping"/>
      </w:r>
      <w:r>
        <w:rPr>
          <w:rFonts w:hint="default" w:ascii="Times New Roman" w:hAnsi="Times New Roman" w:eastAsia="方正公文小标宋" w:cs="Times New Roman"/>
          <w:sz w:val="48"/>
          <w:szCs w:val="48"/>
        </w:rPr>
        <w:t>薛城区自然资源局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19" w:lineRule="atLeast"/>
        <w:ind w:left="0" w:leftChars="0" w:right="0" w:firstLine="0" w:firstLineChars="0"/>
        <w:jc w:val="center"/>
        <w:rPr>
          <w:rFonts w:hint="default" w:ascii="Times New Roman" w:hAnsi="Times New Roman" w:cs="Times New Roman"/>
          <w:sz w:val="13"/>
          <w:szCs w:val="13"/>
        </w:rPr>
      </w:pPr>
      <w:r>
        <w:rPr>
          <w:rFonts w:hint="default" w:ascii="Times New Roman" w:hAnsi="Times New Roman" w:eastAsia="方正公文小标宋" w:cs="Times New Roman"/>
          <w:color w:val="000000"/>
          <w:sz w:val="48"/>
          <w:szCs w:val="48"/>
        </w:rPr>
        <w:t>202</w:t>
      </w:r>
      <w:r>
        <w:rPr>
          <w:rFonts w:hint="default" w:ascii="Times New Roman" w:hAnsi="Times New Roman" w:eastAsia="方正公文小标宋" w:cs="Times New Roman"/>
          <w:color w:val="000000"/>
          <w:sz w:val="48"/>
          <w:szCs w:val="48"/>
          <w:lang w:val="en-US" w:eastAsia="zh-CN"/>
        </w:rPr>
        <w:t>1</w:t>
      </w:r>
      <w:r>
        <w:rPr>
          <w:rFonts w:hint="default" w:ascii="Times New Roman" w:hAnsi="Times New Roman" w:eastAsia="方正公文小标宋" w:cs="Times New Roman"/>
          <w:color w:val="000000"/>
          <w:sz w:val="48"/>
          <w:szCs w:val="48"/>
        </w:rPr>
        <w:t>年信息公开工作年度报告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19" w:lineRule="atLeast"/>
        <w:ind w:left="0" w:right="0" w:firstLine="420"/>
        <w:jc w:val="center"/>
        <w:rPr>
          <w:rFonts w:hint="default" w:ascii="Times New Roman" w:hAnsi="Times New Roman" w:cs="Times New Roman"/>
          <w:sz w:val="13"/>
          <w:szCs w:val="13"/>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19" w:lineRule="atLeast"/>
        <w:ind w:left="0" w:leftChars="0" w:right="0" w:firstLine="640" w:firstLineChars="200"/>
        <w:jc w:val="left"/>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根据《中华人民共和国政府信息公开条例》（国务院令第711号，以下简称《条例》）和《国务院办公厅政府信息与政务公开办公室关于印发＜中华人民共和国政府信息公开工作年度报告格式＞的通知》（国办公开办函〔2021〕30号）要求，现就推进政府信息公开工作情况，向社会公布薛城区</w:t>
      </w:r>
      <w:r>
        <w:rPr>
          <w:rFonts w:hint="default" w:ascii="Times New Roman" w:hAnsi="Times New Roman" w:eastAsia="仿宋" w:cs="Times New Roman"/>
          <w:sz w:val="32"/>
          <w:szCs w:val="32"/>
          <w:lang w:val="en-US" w:eastAsia="zh-CN"/>
        </w:rPr>
        <w:t>自然资源局</w:t>
      </w:r>
      <w:r>
        <w:rPr>
          <w:rFonts w:hint="default" w:ascii="Times New Roman" w:hAnsi="Times New Roman" w:eastAsia="仿宋" w:cs="Times New Roman"/>
          <w:sz w:val="32"/>
          <w:szCs w:val="32"/>
        </w:rPr>
        <w:t>2021年政府信息公开工作年度报告。本报告包括总体情况、行政机关主动公开政府信息情况、行政机关收到和处理政府信息公开申请情况、因政府信息公开工作被申请行政复议、提起行政诉讼情况、政府信息公开工作存在的主要问题及改进情况、其他需要报告的事项等六个部分。本年度报告中所列数据的统计期限自2021年1月1日起至2021年12月31日止。本年度报告的电子版可以在“薛城区政府门户网站”（http://xxgk.xuecheng.gov.cn/xxgknb/2021xxgknb/bmjzjxx/)下载。如对本报告有疑问，可与薛城区</w:t>
      </w:r>
      <w:r>
        <w:rPr>
          <w:rFonts w:hint="default" w:ascii="Times New Roman" w:hAnsi="Times New Roman" w:eastAsia="仿宋" w:cs="Times New Roman"/>
          <w:sz w:val="32"/>
          <w:szCs w:val="32"/>
          <w:lang w:eastAsia="zh-CN"/>
        </w:rPr>
        <w:t>自然资源</w:t>
      </w:r>
      <w:r>
        <w:rPr>
          <w:rFonts w:hint="default" w:ascii="Times New Roman" w:hAnsi="Times New Roman" w:eastAsia="仿宋" w:cs="Times New Roman"/>
          <w:sz w:val="32"/>
          <w:szCs w:val="32"/>
        </w:rPr>
        <w:t>局联系（地址：薛城区中和路财税综合服务中心，邮政编码：277000；电话：0632—44</w:t>
      </w:r>
      <w:r>
        <w:rPr>
          <w:rFonts w:hint="default" w:ascii="Times New Roman" w:hAnsi="Times New Roman" w:eastAsia="仿宋" w:cs="Times New Roman"/>
          <w:sz w:val="32"/>
          <w:szCs w:val="32"/>
          <w:lang w:val="en-US" w:eastAsia="zh-CN"/>
        </w:rPr>
        <w:t>22025</w:t>
      </w:r>
      <w:r>
        <w:rPr>
          <w:rFonts w:hint="default" w:ascii="Times New Roman" w:hAnsi="Times New Roman" w:eastAsia="仿宋" w:cs="Times New Roman"/>
          <w:sz w:val="32"/>
          <w:szCs w:val="32"/>
        </w:rPr>
        <w:t>；电子邮箱：</w:t>
      </w:r>
      <w:r>
        <w:rPr>
          <w:rFonts w:hint="default" w:ascii="Times New Roman" w:hAnsi="Times New Roman" w:eastAsia="仿宋" w:cs="Times New Roman"/>
          <w:sz w:val="32"/>
          <w:szCs w:val="32"/>
          <w:lang w:val="en-US" w:eastAsia="zh-CN"/>
        </w:rPr>
        <w:t>xcqgtfj</w:t>
      </w:r>
      <w:r>
        <w:rPr>
          <w:rFonts w:hint="default" w:ascii="Times New Roman" w:hAnsi="Times New Roman" w:eastAsia="仿宋" w:cs="Times New Roman"/>
          <w:sz w:val="32"/>
          <w:szCs w:val="32"/>
        </w:rPr>
        <w:t>admin@zz.shandong.cn）。</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19" w:lineRule="atLeast"/>
        <w:ind w:left="0" w:leftChars="0" w:right="0" w:firstLine="640" w:firstLineChars="200"/>
        <w:jc w:val="left"/>
        <w:rPr>
          <w:rFonts w:hint="default" w:ascii="Times New Roman" w:hAnsi="Times New Roman" w:eastAsia="黑体" w:cs="Times New Roman"/>
          <w:b w:val="0"/>
          <w:bCs/>
          <w:sz w:val="13"/>
          <w:szCs w:val="13"/>
        </w:rPr>
      </w:pPr>
      <w:r>
        <w:rPr>
          <w:rStyle w:val="5"/>
          <w:rFonts w:hint="default" w:ascii="Times New Roman" w:hAnsi="Times New Roman" w:eastAsia="黑体" w:cs="Times New Roman"/>
          <w:b w:val="0"/>
          <w:bCs/>
          <w:sz w:val="32"/>
          <w:szCs w:val="32"/>
        </w:rPr>
        <w:t>一、总体情况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19" w:lineRule="atLeast"/>
        <w:ind w:left="0" w:leftChars="0" w:right="0" w:firstLine="640" w:firstLineChars="200"/>
        <w:jc w:val="left"/>
        <w:rPr>
          <w:rFonts w:hint="default" w:ascii="Times New Roman" w:hAnsi="Times New Roman" w:cs="Times New Roman"/>
          <w:sz w:val="13"/>
          <w:szCs w:val="13"/>
        </w:rPr>
      </w:pPr>
      <w:r>
        <w:rPr>
          <w:rFonts w:hint="default" w:ascii="Times New Roman" w:hAnsi="Times New Roman" w:eastAsia="仿宋" w:cs="Times New Roman"/>
          <w:sz w:val="32"/>
          <w:szCs w:val="32"/>
        </w:rPr>
        <w:t>202</w:t>
      </w:r>
      <w:r>
        <w:rPr>
          <w:rFonts w:hint="default" w:ascii="Times New Roman" w:hAnsi="Times New Roman" w:eastAsia="仿宋" w:cs="Times New Roman"/>
          <w:sz w:val="32"/>
          <w:szCs w:val="32"/>
          <w:lang w:val="en-US" w:eastAsia="zh-CN"/>
        </w:rPr>
        <w:t>1</w:t>
      </w:r>
      <w:r>
        <w:rPr>
          <w:rFonts w:hint="default" w:ascii="Times New Roman" w:hAnsi="Times New Roman" w:eastAsia="仿宋" w:cs="Times New Roman"/>
          <w:sz w:val="32"/>
          <w:szCs w:val="32"/>
        </w:rPr>
        <w:t>年，我局贯彻落实党的十九大及十九届四中、五中</w:t>
      </w:r>
      <w:r>
        <w:rPr>
          <w:rFonts w:hint="default" w:ascii="Times New Roman" w:hAnsi="Times New Roman" w:eastAsia="仿宋" w:cs="Times New Roman"/>
          <w:sz w:val="32"/>
          <w:szCs w:val="32"/>
          <w:lang w:eastAsia="zh-CN"/>
        </w:rPr>
        <w:t>、六中</w:t>
      </w:r>
      <w:r>
        <w:rPr>
          <w:rFonts w:hint="default" w:ascii="Times New Roman" w:hAnsi="Times New Roman" w:eastAsia="仿宋" w:cs="Times New Roman"/>
          <w:sz w:val="32"/>
          <w:szCs w:val="32"/>
        </w:rPr>
        <w:t>全会精神，以习近平新时代中国特色社会主义思想为指导，始终把服务人民摆在中心位置，着力提高服务质量，完善服务态度。在政府信息公开工作中，学习贯彻中央及省、市政府有关推进政务公开加强政务服务的一系列文件精神，严格落实政务公开制度。</w:t>
      </w:r>
      <w:r>
        <w:rPr>
          <w:rFonts w:hint="default" w:ascii="Times New Roman" w:hAnsi="Times New Roman" w:eastAsia="仿宋_GB2312" w:cs="Times New Roman"/>
          <w:color w:val="000000"/>
          <w:kern w:val="0"/>
          <w:sz w:val="32"/>
          <w:szCs w:val="32"/>
          <w:lang w:eastAsia="zh-CN"/>
        </w:rPr>
        <w:t>我局结合工作实际，紧紧围绕自然资源工作中心和人民群众关注热点、难点，切实加强政务信息公开，</w:t>
      </w:r>
      <w:r>
        <w:rPr>
          <w:rFonts w:hint="default" w:ascii="Times New Roman" w:hAnsi="Times New Roman" w:eastAsia="仿宋" w:cs="Times New Roman"/>
          <w:sz w:val="32"/>
          <w:szCs w:val="32"/>
        </w:rPr>
        <w:t>强化领导，强化宣传，强化教育，扎实推进政务公开工作。</w:t>
      </w: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2" w:firstLineChars="200"/>
        <w:jc w:val="left"/>
        <w:rPr>
          <w:rStyle w:val="5"/>
          <w:rFonts w:hint="default" w:ascii="Times New Roman" w:hAnsi="Times New Roman" w:eastAsia="仿宋" w:cs="Times New Roman"/>
          <w:color w:val="333333"/>
          <w:sz w:val="32"/>
          <w:szCs w:val="32"/>
          <w:shd w:val="clear" w:fill="FFFFFF"/>
        </w:rPr>
      </w:pPr>
      <w:r>
        <w:rPr>
          <w:rStyle w:val="5"/>
          <w:rFonts w:hint="default" w:ascii="Times New Roman" w:hAnsi="Times New Roman" w:eastAsia="仿宋" w:cs="Times New Roman"/>
          <w:color w:val="333333"/>
          <w:sz w:val="32"/>
          <w:szCs w:val="32"/>
          <w:shd w:val="clear" w:fill="FFFFFF"/>
        </w:rPr>
        <w:t>主动公开政府信息情况。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0" w:firstLineChars="200"/>
        <w:jc w:val="left"/>
        <w:rPr>
          <w:rFonts w:hint="default" w:ascii="Times New Roman" w:hAnsi="Times New Roman" w:eastAsia="仿宋" w:cs="Times New Roman"/>
          <w:color w:val="333333"/>
          <w:sz w:val="32"/>
          <w:szCs w:val="32"/>
          <w:shd w:val="clear" w:fill="FFFFFF"/>
          <w:lang w:eastAsia="zh-CN"/>
        </w:rPr>
      </w:pPr>
      <w:r>
        <w:rPr>
          <w:rFonts w:hint="default" w:ascii="Times New Roman" w:hAnsi="Times New Roman" w:eastAsia="仿宋" w:cs="Times New Roman"/>
          <w:color w:val="333333"/>
          <w:sz w:val="32"/>
          <w:szCs w:val="32"/>
          <w:shd w:val="clear" w:fill="FFFFFF"/>
          <w:lang w:eastAsia="zh-CN"/>
        </w:rPr>
        <w:t>我局于</w:t>
      </w:r>
      <w:r>
        <w:rPr>
          <w:rFonts w:hint="default" w:ascii="Times New Roman" w:hAnsi="Times New Roman" w:eastAsia="仿宋" w:cs="Times New Roman"/>
          <w:color w:val="333333"/>
          <w:sz w:val="32"/>
          <w:szCs w:val="32"/>
          <w:shd w:val="clear" w:fill="FFFFFF"/>
        </w:rPr>
        <w:t>2021年主动公开信息39条，包括会议公开2条，政策文件3条，政策解读1条，规划计划5条，财政信息1条，人事信息1条，重要部署执行4条，行政权力5条，建议提案7条，重点领域8条，组织管理1条，政务公开基本目录</w:t>
      </w:r>
      <w:r>
        <w:rPr>
          <w:rFonts w:hint="default" w:ascii="Times New Roman" w:hAnsi="Times New Roman" w:eastAsia="仿宋" w:cs="Times New Roman"/>
          <w:color w:val="333333"/>
          <w:sz w:val="32"/>
          <w:szCs w:val="32"/>
          <w:shd w:val="clear" w:fill="FFFFFF"/>
          <w:lang w:val="en-US" w:eastAsia="zh-CN"/>
        </w:rPr>
        <w:t>1</w:t>
      </w:r>
      <w:r>
        <w:rPr>
          <w:rFonts w:hint="default" w:ascii="Times New Roman" w:hAnsi="Times New Roman" w:eastAsia="仿宋" w:cs="Times New Roman"/>
          <w:color w:val="333333"/>
          <w:sz w:val="32"/>
          <w:szCs w:val="32"/>
          <w:shd w:val="clear" w:fill="FFFFFF"/>
        </w:rPr>
        <w:t>条</w:t>
      </w:r>
      <w:r>
        <w:rPr>
          <w:rFonts w:hint="default" w:ascii="Times New Roman" w:hAnsi="Times New Roman" w:eastAsia="仿宋" w:cs="Times New Roman"/>
          <w:color w:val="333333"/>
          <w:sz w:val="32"/>
          <w:szCs w:val="32"/>
          <w:shd w:val="clear" w:fill="FFFFFF"/>
          <w:lang w:eastAsia="zh-CN"/>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2" w:firstLineChars="200"/>
        <w:jc w:val="left"/>
        <w:rPr>
          <w:rStyle w:val="5"/>
          <w:rFonts w:hint="default" w:ascii="Times New Roman" w:hAnsi="Times New Roman" w:eastAsia="仿宋" w:cs="Times New Roman"/>
          <w:color w:val="333333"/>
          <w:sz w:val="32"/>
          <w:szCs w:val="32"/>
          <w:shd w:val="clear" w:fill="FFFFFF"/>
        </w:rPr>
      </w:pPr>
      <w:r>
        <w:rPr>
          <w:rStyle w:val="5"/>
          <w:rFonts w:hint="default" w:ascii="Times New Roman" w:hAnsi="Times New Roman" w:eastAsia="仿宋" w:cs="Times New Roman"/>
          <w:color w:val="333333"/>
          <w:sz w:val="32"/>
          <w:szCs w:val="32"/>
          <w:shd w:val="clear" w:fill="FFFFFF"/>
        </w:rPr>
        <w:t>（</w:t>
      </w:r>
      <w:r>
        <w:rPr>
          <w:rStyle w:val="5"/>
          <w:rFonts w:hint="default" w:ascii="Times New Roman" w:hAnsi="Times New Roman" w:eastAsia="仿宋" w:cs="Times New Roman"/>
          <w:color w:val="333333"/>
          <w:sz w:val="32"/>
          <w:szCs w:val="32"/>
          <w:shd w:val="clear" w:fill="FFFFFF"/>
          <w:lang w:eastAsia="zh-CN"/>
        </w:rPr>
        <w:t>二</w:t>
      </w:r>
      <w:r>
        <w:rPr>
          <w:rStyle w:val="5"/>
          <w:rFonts w:hint="default" w:ascii="Times New Roman" w:hAnsi="Times New Roman" w:eastAsia="仿宋" w:cs="Times New Roman"/>
          <w:color w:val="333333"/>
          <w:sz w:val="32"/>
          <w:szCs w:val="32"/>
          <w:shd w:val="clear" w:fill="FFFFFF"/>
        </w:rPr>
        <w:t>）依申请公开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0" w:firstLineChars="200"/>
        <w:jc w:val="left"/>
        <w:rPr>
          <w:rFonts w:hint="default" w:ascii="Times New Roman" w:hAnsi="Times New Roman" w:cs="Times New Roman"/>
        </w:rPr>
      </w:pPr>
      <w:r>
        <w:rPr>
          <w:rFonts w:hint="default" w:ascii="Times New Roman" w:hAnsi="Times New Roman" w:eastAsia="仿宋" w:cs="Times New Roman"/>
          <w:color w:val="333333"/>
          <w:sz w:val="32"/>
          <w:szCs w:val="32"/>
          <w:shd w:val="clear" w:fill="FFFFFF"/>
        </w:rPr>
        <w:t>按照政府信息依申请公开工作要求，建立薛城区自然资源局信息依申请公开工作流程，明确责任岗位和人员，做到准确领会、及时回复，加强督查。面对社会关切的有关问题及时答复。</w:t>
      </w:r>
      <w:r>
        <w:rPr>
          <w:rFonts w:hint="default" w:ascii="Times New Roman" w:hAnsi="Times New Roman" w:eastAsia="仿宋" w:cs="Times New Roman"/>
          <w:sz w:val="32"/>
          <w:szCs w:val="32"/>
          <w:shd w:val="clear" w:fill="FFFFFF"/>
        </w:rPr>
        <w:t>202</w:t>
      </w:r>
      <w:r>
        <w:rPr>
          <w:rFonts w:hint="default" w:ascii="Times New Roman" w:hAnsi="Times New Roman" w:eastAsia="仿宋" w:cs="Times New Roman"/>
          <w:sz w:val="32"/>
          <w:szCs w:val="32"/>
          <w:shd w:val="clear" w:fill="FFFFFF"/>
          <w:lang w:val="en-US" w:eastAsia="zh-CN"/>
        </w:rPr>
        <w:t>1</w:t>
      </w:r>
      <w:r>
        <w:rPr>
          <w:rFonts w:hint="default" w:ascii="Times New Roman" w:hAnsi="Times New Roman" w:eastAsia="仿宋" w:cs="Times New Roman"/>
          <w:sz w:val="32"/>
          <w:szCs w:val="32"/>
          <w:shd w:val="clear" w:fill="FFFFFF"/>
        </w:rPr>
        <w:t>年，共收到自然人、法人或其他组织的信息公开申请</w:t>
      </w:r>
      <w:r>
        <w:rPr>
          <w:rFonts w:hint="default" w:ascii="Times New Roman" w:hAnsi="Times New Roman" w:eastAsia="仿宋" w:cs="Times New Roman"/>
          <w:sz w:val="32"/>
          <w:szCs w:val="32"/>
          <w:shd w:val="clear" w:fill="FFFFFF"/>
          <w:lang w:val="en-US" w:eastAsia="zh-CN"/>
        </w:rPr>
        <w:t>36</w:t>
      </w:r>
      <w:r>
        <w:rPr>
          <w:rFonts w:hint="default" w:ascii="Times New Roman" w:hAnsi="Times New Roman" w:eastAsia="仿宋" w:cs="Times New Roman"/>
          <w:sz w:val="32"/>
          <w:szCs w:val="32"/>
          <w:shd w:val="clear" w:fill="FFFFFF"/>
        </w:rPr>
        <w:t>条，所有申请的信息公开均已回复。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2" w:firstLineChars="200"/>
        <w:jc w:val="left"/>
        <w:rPr>
          <w:rFonts w:hint="default" w:ascii="Times New Roman" w:hAnsi="Times New Roman" w:cs="Times New Roman"/>
          <w:highlight w:val="none"/>
        </w:rPr>
      </w:pPr>
      <w:r>
        <w:rPr>
          <w:rStyle w:val="5"/>
          <w:rFonts w:hint="default" w:ascii="Times New Roman" w:hAnsi="Times New Roman" w:eastAsia="仿宋" w:cs="Times New Roman"/>
          <w:color w:val="333333"/>
          <w:sz w:val="32"/>
          <w:szCs w:val="32"/>
          <w:shd w:val="clear" w:fill="FFFFFF"/>
        </w:rPr>
        <w:t>（</w:t>
      </w:r>
      <w:r>
        <w:rPr>
          <w:rStyle w:val="5"/>
          <w:rFonts w:hint="default" w:ascii="Times New Roman" w:hAnsi="Times New Roman" w:eastAsia="仿宋" w:cs="Times New Roman"/>
          <w:color w:val="333333"/>
          <w:sz w:val="32"/>
          <w:szCs w:val="32"/>
          <w:highlight w:val="none"/>
          <w:shd w:val="clear" w:fill="FFFFFF"/>
          <w:lang w:eastAsia="zh-CN"/>
        </w:rPr>
        <w:t>三</w:t>
      </w:r>
      <w:r>
        <w:rPr>
          <w:rStyle w:val="5"/>
          <w:rFonts w:hint="default" w:ascii="Times New Roman" w:hAnsi="Times New Roman" w:eastAsia="仿宋" w:cs="Times New Roman"/>
          <w:color w:val="333333"/>
          <w:sz w:val="32"/>
          <w:szCs w:val="32"/>
          <w:highlight w:val="none"/>
          <w:shd w:val="clear" w:fill="FFFFFF"/>
        </w:rPr>
        <w:t>）政府信息管理情况</w:t>
      </w:r>
      <w:bookmarkStart w:id="10" w:name="_GoBack"/>
      <w:bookmarkEnd w:id="1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0" w:firstLineChars="200"/>
        <w:jc w:val="left"/>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lang w:eastAsia="zh-CN"/>
        </w:rPr>
        <w:t>薛城区自然资源局</w:t>
      </w:r>
      <w:r>
        <w:rPr>
          <w:rFonts w:hint="default" w:ascii="Times New Roman" w:hAnsi="Times New Roman" w:eastAsia="仿宋" w:cs="Times New Roman"/>
          <w:color w:val="333333"/>
          <w:sz w:val="32"/>
          <w:szCs w:val="32"/>
          <w:shd w:val="clear" w:fill="FFFFFF"/>
        </w:rPr>
        <w:t>认真贯彻执行《中华人民共和国政府信息公开条例》和薛城区人民政府信息公开的相关规定，规范信息报送流程，明确时间节点，细化工作任务，由各股室、各单位负责同志对主动公开的信息内容和依申请公开答复事项进行信息初审，经分管领导审核同意后报局政务公开工作领导小组办公室进行保密审查，确保政务公开工作科学化、标准化、规范化</w:t>
      </w:r>
      <w:r>
        <w:rPr>
          <w:rFonts w:hint="default" w:ascii="Times New Roman" w:hAnsi="Times New Roman" w:eastAsia="仿宋" w:cs="Times New Roman"/>
          <w:color w:val="333333"/>
          <w:sz w:val="32"/>
          <w:szCs w:val="32"/>
          <w:shd w:val="clear" w:fill="FFFFFF"/>
          <w:lang w:eastAsia="zh-CN"/>
        </w:rPr>
        <w:t>，</w:t>
      </w:r>
      <w:r>
        <w:rPr>
          <w:rFonts w:hint="default" w:ascii="Times New Roman" w:hAnsi="Times New Roman" w:eastAsia="仿宋" w:cs="Times New Roman"/>
          <w:color w:val="333333"/>
          <w:sz w:val="32"/>
          <w:szCs w:val="32"/>
          <w:shd w:val="clear" w:fill="FFFFFF"/>
        </w:rPr>
        <w:t>信息内容准确合规。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2" w:firstLineChars="200"/>
        <w:jc w:val="left"/>
        <w:rPr>
          <w:rFonts w:hint="default" w:ascii="Times New Roman" w:hAnsi="Times New Roman" w:cs="Times New Roman"/>
          <w:sz w:val="13"/>
          <w:szCs w:val="13"/>
        </w:rPr>
      </w:pPr>
      <w:r>
        <w:rPr>
          <w:rStyle w:val="5"/>
          <w:rFonts w:hint="default" w:ascii="Times New Roman" w:hAnsi="Times New Roman" w:eastAsia="仿宋" w:cs="Times New Roman"/>
          <w:color w:val="333333"/>
          <w:sz w:val="32"/>
          <w:szCs w:val="32"/>
          <w:shd w:val="clear" w:fill="FFFFFF"/>
        </w:rPr>
        <w:t>（四）加强政务公开平台建设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0" w:firstLineChars="200"/>
        <w:jc w:val="left"/>
        <w:rPr>
          <w:rFonts w:hint="default" w:ascii="Times New Roman" w:hAnsi="Times New Roman" w:cs="Times New Roman"/>
          <w:sz w:val="13"/>
          <w:szCs w:val="13"/>
        </w:rPr>
      </w:pPr>
      <w:r>
        <w:rPr>
          <w:rFonts w:hint="default" w:ascii="Times New Roman" w:hAnsi="Times New Roman" w:eastAsia="仿宋" w:cs="Times New Roman"/>
          <w:color w:val="333333"/>
          <w:sz w:val="32"/>
          <w:szCs w:val="32"/>
          <w:shd w:val="clear" w:fill="FFFFFF"/>
        </w:rPr>
        <w:t>一是加强学习研究，切实贯彻落实好政府信息公开条例。认真抓好依申请公开工作，建立健全接收、登记、办理、答复等程序制度，组织开展形式多样的宣传活动，营造社会公众充分知情、有序参与、全面监督的良好氛围。二是按照主管部门要求，遵循各项规章制度，完成政务公开收集、审核、审批及发布程序，严格保守秘密，涉密及内部管理事宜不合适公开的信息，坚决不公开。涉及个人隐私的，加强保护措施和处理。三是严格自查整改不断提升质量，重视日常检查落实，对标规章规范、存在问题，认真开展查漏补缺。解决问题绝不走过场，不断提高我局政务公开工作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2" w:firstLineChars="200"/>
        <w:jc w:val="left"/>
        <w:rPr>
          <w:rFonts w:hint="default" w:ascii="Times New Roman" w:hAnsi="Times New Roman" w:cs="Times New Roman"/>
          <w:sz w:val="13"/>
          <w:szCs w:val="13"/>
        </w:rPr>
      </w:pPr>
      <w:r>
        <w:rPr>
          <w:rStyle w:val="5"/>
          <w:rFonts w:hint="default" w:ascii="Times New Roman" w:hAnsi="Times New Roman" w:eastAsia="仿宋" w:cs="Times New Roman"/>
          <w:color w:val="333333"/>
          <w:sz w:val="32"/>
          <w:szCs w:val="32"/>
          <w:shd w:val="clear" w:fill="FFFFFF"/>
        </w:rPr>
        <w:t>（五）监督保障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19" w:lineRule="atLeast"/>
        <w:ind w:left="0" w:leftChars="0" w:right="0" w:firstLine="640" w:firstLineChars="200"/>
        <w:jc w:val="left"/>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rPr>
        <w:t>为做好政府信息公开</w:t>
      </w:r>
      <w:r>
        <w:rPr>
          <w:rFonts w:hint="default" w:ascii="Times New Roman" w:hAnsi="Times New Roman" w:eastAsia="仿宋" w:cs="Times New Roman"/>
          <w:color w:val="333333"/>
          <w:sz w:val="32"/>
          <w:szCs w:val="32"/>
          <w:shd w:val="clear" w:fill="FFFFFF"/>
          <w:lang w:eastAsia="zh-CN"/>
        </w:rPr>
        <w:t>，</w:t>
      </w:r>
      <w:r>
        <w:rPr>
          <w:rFonts w:hint="default" w:ascii="Times New Roman" w:hAnsi="Times New Roman" w:eastAsia="仿宋" w:cs="Times New Roman"/>
          <w:color w:val="333333"/>
          <w:sz w:val="32"/>
          <w:szCs w:val="32"/>
          <w:shd w:val="clear" w:fill="FFFFFF"/>
        </w:rPr>
        <w:t>我局加强政府信息公开监督制度。根据政府信息工作要求</w:t>
      </w:r>
      <w:r>
        <w:rPr>
          <w:rFonts w:hint="default" w:ascii="Times New Roman" w:hAnsi="Times New Roman" w:eastAsia="仿宋" w:cs="Times New Roman"/>
          <w:color w:val="333333"/>
          <w:sz w:val="32"/>
          <w:szCs w:val="32"/>
          <w:shd w:val="clear" w:fill="FFFFFF"/>
          <w:lang w:eastAsia="zh-CN"/>
        </w:rPr>
        <w:t>，</w:t>
      </w:r>
      <w:r>
        <w:rPr>
          <w:rFonts w:hint="default" w:ascii="Times New Roman" w:hAnsi="Times New Roman" w:eastAsia="仿宋" w:cs="Times New Roman"/>
          <w:color w:val="333333"/>
          <w:sz w:val="32"/>
          <w:szCs w:val="32"/>
          <w:shd w:val="clear" w:fill="FFFFFF"/>
        </w:rPr>
        <w:t>形成了主要领导亲自抓，分管领导直接抓，专职人员具体抓的工作格局，为开展政府信息公开工作奠定了坚实的组织基础，保证了政府信息公开工作的顺利</w:t>
      </w:r>
      <w:r>
        <w:rPr>
          <w:rFonts w:hint="default" w:ascii="Times New Roman" w:hAnsi="Times New Roman" w:eastAsia="仿宋" w:cs="Times New Roman"/>
          <w:color w:val="333333"/>
          <w:sz w:val="32"/>
          <w:szCs w:val="32"/>
          <w:shd w:val="clear" w:fill="FFFFFF"/>
          <w:lang w:eastAsia="zh-CN"/>
        </w:rPr>
        <w:t>，</w:t>
      </w:r>
      <w:r>
        <w:rPr>
          <w:rFonts w:hint="default" w:ascii="Times New Roman" w:hAnsi="Times New Roman" w:eastAsia="仿宋" w:cs="Times New Roman"/>
          <w:color w:val="333333"/>
          <w:sz w:val="32"/>
          <w:szCs w:val="32"/>
          <w:shd w:val="clear" w:fill="FFFFFF"/>
        </w:rPr>
        <w:t>把依法行政、执政为民落到实处，切实维护人民群众根本利益。</w:t>
      </w:r>
    </w:p>
    <w:p>
      <w:pPr>
        <w:pStyle w:val="2"/>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leftChars="0" w:right="0" w:firstLine="640" w:firstLineChars="200"/>
        <w:jc w:val="lef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主动公开政府信息情况</w:t>
      </w:r>
    </w:p>
    <w:tbl>
      <w:tblPr>
        <w:tblStyle w:val="3"/>
        <w:tblW w:w="8824" w:type="dxa"/>
        <w:tblInd w:w="0" w:type="dxa"/>
        <w:tblLayout w:type="fixed"/>
        <w:tblCellMar>
          <w:top w:w="0" w:type="dxa"/>
          <w:left w:w="108" w:type="dxa"/>
          <w:bottom w:w="0" w:type="dxa"/>
          <w:right w:w="108" w:type="dxa"/>
        </w:tblCellMar>
      </w:tblPr>
      <w:tblGrid>
        <w:gridCol w:w="2206"/>
        <w:gridCol w:w="2206"/>
        <w:gridCol w:w="2206"/>
        <w:gridCol w:w="2206"/>
      </w:tblGrid>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hint="default" w:ascii="Times New Roman" w:hAnsi="Times New Roman" w:eastAsia="黑体" w:cs="Times New Roman"/>
                <w:color w:val="000000"/>
                <w:kern w:val="0"/>
                <w:szCs w:val="21"/>
              </w:rPr>
            </w:pPr>
            <w:r>
              <w:rPr>
                <w:rFonts w:hint="default" w:ascii="Times New Roman" w:hAnsi="Times New Roman" w:eastAsia="黑体" w:cs="Times New Roman"/>
                <w:color w:val="000000"/>
                <w:kern w:val="0"/>
                <w:szCs w:val="21"/>
              </w:rPr>
              <w:t>第二十条第（一）项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信息内容</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本年制发件数</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本年废止件数</w:t>
            </w:r>
          </w:p>
        </w:tc>
        <w:tc>
          <w:tcPr>
            <w:tcW w:w="2206" w:type="dxa"/>
            <w:tcBorders>
              <w:top w:val="nil"/>
              <w:left w:val="nil"/>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现行有效件数</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规章</w:t>
            </w:r>
          </w:p>
        </w:tc>
        <w:tc>
          <w:tcPr>
            <w:tcW w:w="2206" w:type="dxa"/>
            <w:tcBorders>
              <w:top w:val="nil"/>
              <w:left w:val="nil"/>
              <w:bottom w:val="single" w:color="auto" w:sz="8" w:space="0"/>
              <w:right w:val="single" w:color="auto"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color w:val="000000"/>
                <w:kern w:val="0"/>
                <w:szCs w:val="21"/>
              </w:rPr>
            </w:pPr>
            <w:r>
              <w:rPr>
                <w:rFonts w:hint="default" w:ascii="Times New Roman" w:hAnsi="Times New Roman" w:cs="Times New Roman"/>
                <w:color w:val="000000"/>
                <w:kern w:val="0"/>
                <w:sz w:val="20"/>
                <w:szCs w:val="20"/>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color w:val="000000"/>
                <w:kern w:val="0"/>
                <w:szCs w:val="21"/>
              </w:rPr>
            </w:pPr>
            <w:r>
              <w:rPr>
                <w:rFonts w:hint="default" w:ascii="Times New Roman" w:hAnsi="Times New Roman" w:cs="Times New Roman"/>
                <w:color w:val="000000"/>
                <w:kern w:val="0"/>
                <w:sz w:val="20"/>
                <w:szCs w:val="20"/>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color w:val="000000"/>
                <w:kern w:val="0"/>
                <w:szCs w:val="21"/>
              </w:rPr>
            </w:pPr>
            <w:r>
              <w:rPr>
                <w:rFonts w:hint="default" w:ascii="Times New Roman" w:hAnsi="Times New Roman" w:cs="Times New Roman"/>
                <w:color w:val="000000"/>
                <w:kern w:val="0"/>
                <w:sz w:val="20"/>
                <w:szCs w:val="20"/>
                <w:lang w:val="en-US" w:eastAsia="zh-CN"/>
              </w:rPr>
              <w:t>0</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行政规范性文件</w:t>
            </w:r>
          </w:p>
        </w:tc>
        <w:tc>
          <w:tcPr>
            <w:tcW w:w="2206" w:type="dxa"/>
            <w:tcBorders>
              <w:top w:val="nil"/>
              <w:left w:val="nil"/>
              <w:bottom w:val="single" w:color="auto" w:sz="8" w:space="0"/>
              <w:right w:val="single" w:color="auto"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color w:val="000000"/>
                <w:kern w:val="0"/>
                <w:szCs w:val="21"/>
              </w:rPr>
            </w:pPr>
            <w:r>
              <w:rPr>
                <w:rFonts w:hint="default" w:ascii="Times New Roman" w:hAnsi="Times New Roman" w:cs="Times New Roman"/>
                <w:color w:val="000000"/>
                <w:kern w:val="0"/>
                <w:sz w:val="20"/>
                <w:szCs w:val="20"/>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color w:val="000000"/>
                <w:kern w:val="0"/>
                <w:szCs w:val="21"/>
              </w:rPr>
            </w:pPr>
            <w:r>
              <w:rPr>
                <w:rFonts w:hint="default" w:ascii="Times New Roman" w:hAnsi="Times New Roman" w:cs="Times New Roman"/>
                <w:color w:val="000000"/>
                <w:kern w:val="0"/>
                <w:sz w:val="20"/>
                <w:szCs w:val="20"/>
                <w:lang w:val="en-US" w:eastAsia="zh-CN"/>
              </w:rPr>
              <w:t>0</w:t>
            </w:r>
          </w:p>
        </w:tc>
        <w:tc>
          <w:tcPr>
            <w:tcW w:w="2206" w:type="dxa"/>
            <w:tcBorders>
              <w:top w:val="nil"/>
              <w:left w:val="nil"/>
              <w:bottom w:val="single" w:color="auto" w:sz="8" w:space="0"/>
              <w:right w:val="single" w:color="auto"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color w:val="000000"/>
                <w:kern w:val="0"/>
                <w:szCs w:val="21"/>
              </w:rPr>
            </w:pPr>
            <w:r>
              <w:rPr>
                <w:rFonts w:hint="default" w:ascii="Times New Roman" w:hAnsi="Times New Roman" w:cs="Times New Roman"/>
                <w:color w:val="000000"/>
                <w:kern w:val="0"/>
                <w:sz w:val="20"/>
                <w:szCs w:val="20"/>
                <w:lang w:val="en-US" w:eastAsia="zh-CN"/>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hint="default" w:ascii="Times New Roman" w:hAnsi="Times New Roman" w:eastAsia="黑体" w:cs="Times New Roman"/>
                <w:color w:val="000000"/>
                <w:kern w:val="0"/>
                <w:szCs w:val="21"/>
              </w:rPr>
            </w:pPr>
            <w:r>
              <w:rPr>
                <w:rFonts w:hint="default" w:ascii="Times New Roman" w:hAnsi="Times New Roman" w:eastAsia="黑体" w:cs="Times New Roman"/>
                <w:color w:val="000000"/>
                <w:kern w:val="0"/>
                <w:szCs w:val="21"/>
              </w:rPr>
              <w:t>第二十条第（五）项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本年处理决定数量</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行政许可</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Times New Roman" w:hAnsi="Times New Roman" w:eastAsia="仿宋_GB2312" w:cs="Times New Roman"/>
                <w:color w:val="000000"/>
                <w:kern w:val="0"/>
                <w:szCs w:val="21"/>
                <w:lang w:val="en-US" w:eastAsia="zh-CN"/>
              </w:rPr>
            </w:pPr>
            <w:r>
              <w:rPr>
                <w:rFonts w:hint="default" w:ascii="Times New Roman" w:hAnsi="Times New Roman" w:eastAsia="仿宋_GB2312" w:cs="Times New Roman"/>
                <w:color w:val="000000"/>
                <w:kern w:val="0"/>
                <w:szCs w:val="21"/>
                <w:lang w:val="en-US" w:eastAsia="zh-CN"/>
              </w:rPr>
              <w:t>12</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hint="default" w:ascii="Times New Roman" w:hAnsi="Times New Roman" w:eastAsia="黑体" w:cs="Times New Roman"/>
                <w:color w:val="000000"/>
                <w:kern w:val="0"/>
                <w:szCs w:val="21"/>
              </w:rPr>
            </w:pPr>
            <w:r>
              <w:rPr>
                <w:rFonts w:hint="default" w:ascii="Times New Roman" w:hAnsi="Times New Roman" w:eastAsia="黑体" w:cs="Times New Roman"/>
                <w:color w:val="000000"/>
                <w:kern w:val="0"/>
                <w:szCs w:val="21"/>
              </w:rPr>
              <w:t>第二十条第（六）项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本年处理决定数量</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行政处罚</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Times New Roman" w:hAnsi="Times New Roman" w:eastAsia="仿宋_GB2312" w:cs="Times New Roman"/>
                <w:color w:val="000000"/>
                <w:kern w:val="0"/>
                <w:szCs w:val="21"/>
                <w:lang w:val="en-US" w:eastAsia="zh-CN"/>
              </w:rPr>
            </w:pPr>
            <w:r>
              <w:rPr>
                <w:rFonts w:hint="default" w:ascii="Times New Roman" w:hAnsi="Times New Roman" w:eastAsia="仿宋_GB2312" w:cs="Times New Roman"/>
                <w:color w:val="000000"/>
                <w:kern w:val="0"/>
                <w:szCs w:val="21"/>
                <w:lang w:val="en-US" w:eastAsia="zh-CN"/>
              </w:rPr>
              <w:t>3</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行政强制</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Times New Roman" w:hAnsi="Times New Roman" w:eastAsia="仿宋_GB2312" w:cs="Times New Roman"/>
                <w:color w:val="000000"/>
                <w:kern w:val="0"/>
                <w:szCs w:val="21"/>
                <w:lang w:val="en-US" w:eastAsia="zh-CN"/>
              </w:rPr>
            </w:pPr>
            <w:r>
              <w:rPr>
                <w:rFonts w:hint="default" w:ascii="Times New Roman" w:hAnsi="Times New Roman" w:eastAsia="仿宋_GB2312" w:cs="Times New Roman"/>
                <w:color w:val="000000"/>
                <w:kern w:val="0"/>
                <w:szCs w:val="21"/>
                <w:lang w:val="en-US" w:eastAsia="zh-CN"/>
              </w:rPr>
              <w:t>0</w:t>
            </w:r>
          </w:p>
        </w:tc>
      </w:tr>
      <w:tr>
        <w:tblPrEx>
          <w:tblCellMar>
            <w:top w:w="0" w:type="dxa"/>
            <w:left w:w="108" w:type="dxa"/>
            <w:bottom w:w="0" w:type="dxa"/>
            <w:right w:w="108" w:type="dxa"/>
          </w:tblCellMar>
        </w:tblPrEx>
        <w:trPr>
          <w:trHeight w:val="567" w:hRule="atLeast"/>
        </w:trPr>
        <w:tc>
          <w:tcPr>
            <w:tcW w:w="8824" w:type="dxa"/>
            <w:gridSpan w:val="4"/>
            <w:tcBorders>
              <w:top w:val="single" w:color="auto" w:sz="8" w:space="0"/>
              <w:left w:val="single" w:color="auto" w:sz="8" w:space="0"/>
              <w:bottom w:val="single" w:color="auto" w:sz="8" w:space="0"/>
              <w:right w:val="single" w:color="000000" w:sz="8" w:space="0"/>
            </w:tcBorders>
            <w:shd w:val="clear" w:color="000000" w:fill="C6D9F1"/>
            <w:vAlign w:val="center"/>
          </w:tcPr>
          <w:p>
            <w:pPr>
              <w:widowControl/>
              <w:jc w:val="center"/>
              <w:rPr>
                <w:rFonts w:hint="default" w:ascii="Times New Roman" w:hAnsi="Times New Roman" w:eastAsia="黑体" w:cs="Times New Roman"/>
                <w:color w:val="000000"/>
                <w:kern w:val="0"/>
                <w:szCs w:val="21"/>
              </w:rPr>
            </w:pPr>
            <w:r>
              <w:rPr>
                <w:rFonts w:hint="default" w:ascii="Times New Roman" w:hAnsi="Times New Roman" w:eastAsia="黑体" w:cs="Times New Roman"/>
                <w:color w:val="000000"/>
                <w:kern w:val="0"/>
                <w:szCs w:val="21"/>
              </w:rPr>
              <w:t>第二十条第（八）项</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信息内容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本年收费金额（单位：万元）</w:t>
            </w:r>
          </w:p>
        </w:tc>
      </w:tr>
      <w:tr>
        <w:tblPrEx>
          <w:tblCellMar>
            <w:top w:w="0" w:type="dxa"/>
            <w:left w:w="108" w:type="dxa"/>
            <w:bottom w:w="0" w:type="dxa"/>
            <w:right w:w="108" w:type="dxa"/>
          </w:tblCellMar>
        </w:tblPrEx>
        <w:trPr>
          <w:trHeight w:val="567" w:hRule="atLeast"/>
        </w:trPr>
        <w:tc>
          <w:tcPr>
            <w:tcW w:w="2206" w:type="dxa"/>
            <w:tcBorders>
              <w:top w:val="nil"/>
              <w:left w:val="single" w:color="auto" w:sz="8" w:space="0"/>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color w:val="000000"/>
                <w:kern w:val="0"/>
                <w:szCs w:val="21"/>
              </w:rPr>
            </w:pPr>
            <w:r>
              <w:rPr>
                <w:rFonts w:hint="default" w:ascii="Times New Roman" w:hAnsi="Times New Roman" w:eastAsia="仿宋_GB2312" w:cs="Times New Roman"/>
                <w:color w:val="000000"/>
                <w:kern w:val="0"/>
                <w:szCs w:val="21"/>
              </w:rPr>
              <w:t>行政事业性收费</w:t>
            </w:r>
          </w:p>
        </w:tc>
        <w:tc>
          <w:tcPr>
            <w:tcW w:w="6618" w:type="dxa"/>
            <w:gridSpan w:val="3"/>
            <w:tcBorders>
              <w:top w:val="single" w:color="auto" w:sz="8" w:space="0"/>
              <w:left w:val="nil"/>
              <w:bottom w:val="single" w:color="auto" w:sz="8" w:space="0"/>
              <w:right w:val="single" w:color="000000" w:sz="8" w:space="0"/>
            </w:tcBorders>
            <w:shd w:val="clear" w:color="auto" w:fill="auto"/>
            <w:vAlign w:val="center"/>
          </w:tcPr>
          <w:p>
            <w:pPr>
              <w:widowControl/>
              <w:jc w:val="center"/>
              <w:rPr>
                <w:rFonts w:hint="default" w:ascii="Times New Roman" w:hAnsi="Times New Roman" w:eastAsia="仿宋_GB2312" w:cs="Times New Roman"/>
                <w:color w:val="000000"/>
                <w:kern w:val="0"/>
                <w:szCs w:val="21"/>
                <w:lang w:val="en-US" w:eastAsia="zh-CN"/>
              </w:rPr>
            </w:pPr>
            <w:r>
              <w:rPr>
                <w:rFonts w:hint="default" w:ascii="Times New Roman" w:hAnsi="Times New Roman" w:eastAsia="仿宋_GB2312" w:cs="Times New Roman"/>
                <w:color w:val="000000"/>
                <w:kern w:val="0"/>
                <w:szCs w:val="21"/>
                <w:lang w:val="en-US" w:eastAsia="zh-CN"/>
              </w:rPr>
              <w:t>0</w:t>
            </w:r>
          </w:p>
        </w:tc>
      </w:tr>
    </w:tbl>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right="0" w:rightChars="0"/>
        <w:jc w:val="left"/>
        <w:rPr>
          <w:rFonts w:hint="default" w:ascii="Times New Roman" w:hAnsi="Times New Roman" w:eastAsia="黑体" w:cs="Times New Roman"/>
          <w:sz w:val="32"/>
          <w:szCs w:val="32"/>
        </w:rPr>
      </w:pPr>
    </w:p>
    <w:p>
      <w:pPr>
        <w:pStyle w:val="2"/>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leftChars="0" w:right="0" w:firstLine="640" w:firstLineChars="0"/>
        <w:jc w:val="lef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收到和处理政府信息公开申请情况</w:t>
      </w:r>
    </w:p>
    <w:tbl>
      <w:tblPr>
        <w:tblStyle w:val="3"/>
        <w:tblW w:w="991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416"/>
        <w:gridCol w:w="1701"/>
        <w:gridCol w:w="2976"/>
        <w:gridCol w:w="829"/>
        <w:gridCol w:w="567"/>
        <w:gridCol w:w="567"/>
        <w:gridCol w:w="731"/>
        <w:gridCol w:w="708"/>
        <w:gridCol w:w="567"/>
        <w:gridCol w:w="8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5093" w:type="dxa"/>
            <w:gridSpan w:val="3"/>
            <w:vMerge w:val="restart"/>
            <w:shd w:val="clear" w:color="auto" w:fill="auto"/>
            <w:tcMar>
              <w:left w:w="108" w:type="dxa"/>
              <w:right w:w="108" w:type="dxa"/>
            </w:tcMar>
            <w:vAlign w:val="center"/>
          </w:tcPr>
          <w:p>
            <w:pPr>
              <w:widowControl/>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（本列数据的勾稽关系为：第一项加第二项之和，</w:t>
            </w:r>
          </w:p>
          <w:p>
            <w:pPr>
              <w:widowControl/>
              <w:jc w:val="center"/>
              <w:rPr>
                <w:rFonts w:hint="default" w:ascii="Times New Roman" w:hAnsi="Times New Roman" w:eastAsia="仿宋_GB2312" w:cs="Times New Roman"/>
                <w:szCs w:val="21"/>
              </w:rPr>
            </w:pPr>
            <w:r>
              <w:rPr>
                <w:rFonts w:hint="default" w:ascii="Times New Roman" w:hAnsi="Times New Roman" w:eastAsia="楷体_GB2312" w:cs="Times New Roman"/>
                <w:kern w:val="0"/>
                <w:szCs w:val="21"/>
              </w:rPr>
              <w:t>等于第三项加第四项之和）</w:t>
            </w:r>
          </w:p>
        </w:tc>
        <w:tc>
          <w:tcPr>
            <w:tcW w:w="4820" w:type="dxa"/>
            <w:gridSpan w:val="7"/>
            <w:shd w:val="clear" w:color="auto" w:fill="auto"/>
            <w:tcMar>
              <w:left w:w="108" w:type="dxa"/>
              <w:right w:w="108" w:type="dxa"/>
            </w:tcMar>
            <w:vAlign w:val="center"/>
          </w:tcPr>
          <w:p>
            <w:pPr>
              <w:widowControl/>
              <w:spacing w:line="320" w:lineRule="exact"/>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申请人情况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25" w:hRule="atLeast"/>
          <w:jc w:val="center"/>
        </w:trPr>
        <w:tc>
          <w:tcPr>
            <w:tcW w:w="5093" w:type="dxa"/>
            <w:gridSpan w:val="3"/>
            <w:vMerge w:val="continue"/>
            <w:shd w:val="clear" w:color="auto" w:fill="auto"/>
            <w:tcMar>
              <w:left w:w="108" w:type="dxa"/>
              <w:right w:w="108" w:type="dxa"/>
            </w:tcMar>
            <w:vAlign w:val="center"/>
          </w:tcPr>
          <w:p>
            <w:pPr>
              <w:jc w:val="center"/>
              <w:rPr>
                <w:rFonts w:hint="default" w:ascii="Times New Roman" w:hAnsi="Times New Roman" w:eastAsia="仿宋_GB2312" w:cs="Times New Roman"/>
                <w:szCs w:val="21"/>
              </w:rPr>
            </w:pPr>
          </w:p>
        </w:tc>
        <w:tc>
          <w:tcPr>
            <w:tcW w:w="829" w:type="dxa"/>
            <w:vMerge w:val="restart"/>
            <w:shd w:val="clear" w:color="auto" w:fill="auto"/>
            <w:tcMar>
              <w:left w:w="108" w:type="dxa"/>
              <w:right w:w="108" w:type="dxa"/>
            </w:tcMar>
            <w:vAlign w:val="center"/>
          </w:tcPr>
          <w:p>
            <w:pPr>
              <w:widowControl/>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自然人</w:t>
            </w:r>
          </w:p>
        </w:tc>
        <w:tc>
          <w:tcPr>
            <w:tcW w:w="3140" w:type="dxa"/>
            <w:gridSpan w:val="5"/>
            <w:shd w:val="clear" w:color="auto" w:fill="auto"/>
            <w:tcMar>
              <w:left w:w="108" w:type="dxa"/>
              <w:right w:w="108" w:type="dxa"/>
            </w:tcMar>
            <w:vAlign w:val="center"/>
          </w:tcPr>
          <w:p>
            <w:pPr>
              <w:widowControl/>
              <w:spacing w:line="320" w:lineRule="exact"/>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法人或其他组织</w:t>
            </w:r>
          </w:p>
        </w:tc>
        <w:tc>
          <w:tcPr>
            <w:tcW w:w="851" w:type="dxa"/>
            <w:vMerge w:val="restart"/>
            <w:shd w:val="clear" w:color="auto" w:fill="auto"/>
            <w:tcMar>
              <w:left w:w="108" w:type="dxa"/>
              <w:right w:w="108" w:type="dxa"/>
            </w:tcMar>
            <w:vAlign w:val="center"/>
          </w:tcPr>
          <w:p>
            <w:pPr>
              <w:widowControl/>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总计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22" w:hRule="atLeast"/>
          <w:jc w:val="center"/>
        </w:trPr>
        <w:tc>
          <w:tcPr>
            <w:tcW w:w="5093" w:type="dxa"/>
            <w:gridSpan w:val="3"/>
            <w:vMerge w:val="continue"/>
            <w:shd w:val="clear" w:color="auto" w:fill="auto"/>
            <w:tcMar>
              <w:left w:w="108" w:type="dxa"/>
              <w:right w:w="108" w:type="dxa"/>
            </w:tcMar>
            <w:vAlign w:val="center"/>
          </w:tcPr>
          <w:p>
            <w:pPr>
              <w:jc w:val="center"/>
              <w:rPr>
                <w:rFonts w:hint="default" w:ascii="Times New Roman" w:hAnsi="Times New Roman" w:eastAsia="仿宋_GB2312" w:cs="Times New Roman"/>
                <w:szCs w:val="21"/>
              </w:rPr>
            </w:pPr>
          </w:p>
        </w:tc>
        <w:tc>
          <w:tcPr>
            <w:tcW w:w="829" w:type="dxa"/>
            <w:vMerge w:val="continue"/>
            <w:shd w:val="clear" w:color="auto" w:fill="auto"/>
            <w:tcMar>
              <w:left w:w="108" w:type="dxa"/>
              <w:right w:w="108" w:type="dxa"/>
            </w:tcMar>
            <w:vAlign w:val="center"/>
          </w:tcPr>
          <w:p>
            <w:pPr>
              <w:jc w:val="center"/>
              <w:rPr>
                <w:rFonts w:hint="default" w:ascii="Times New Roman" w:hAnsi="Times New Roman" w:eastAsia="黑体" w:cs="Times New Roman"/>
                <w:szCs w:val="21"/>
              </w:rPr>
            </w:pPr>
          </w:p>
        </w:tc>
        <w:tc>
          <w:tcPr>
            <w:tcW w:w="567" w:type="dxa"/>
            <w:shd w:val="clear" w:color="auto" w:fill="auto"/>
            <w:tcMar>
              <w:left w:w="108" w:type="dxa"/>
              <w:right w:w="108" w:type="dxa"/>
            </w:tcMar>
            <w:vAlign w:val="center"/>
          </w:tcPr>
          <w:p>
            <w:pPr>
              <w:widowControl/>
              <w:spacing w:line="320" w:lineRule="exact"/>
              <w:ind w:left="-106" w:leftChars="-51" w:right="-107" w:rightChars="-51" w:hanging="1"/>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商业企业</w:t>
            </w:r>
          </w:p>
        </w:tc>
        <w:tc>
          <w:tcPr>
            <w:tcW w:w="567" w:type="dxa"/>
            <w:shd w:val="clear" w:color="auto" w:fill="auto"/>
            <w:tcMar>
              <w:left w:w="108" w:type="dxa"/>
              <w:right w:w="108" w:type="dxa"/>
            </w:tcMar>
            <w:vAlign w:val="center"/>
          </w:tcPr>
          <w:p>
            <w:pPr>
              <w:widowControl/>
              <w:spacing w:line="320" w:lineRule="exact"/>
              <w:ind w:left="-107" w:leftChars="-51" w:right="-107" w:rightChars="-51"/>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科研机构</w:t>
            </w:r>
          </w:p>
        </w:tc>
        <w:tc>
          <w:tcPr>
            <w:tcW w:w="731" w:type="dxa"/>
            <w:shd w:val="clear" w:color="auto" w:fill="auto"/>
            <w:tcMar>
              <w:left w:w="108" w:type="dxa"/>
              <w:right w:w="108" w:type="dxa"/>
            </w:tcMar>
            <w:vAlign w:val="center"/>
          </w:tcPr>
          <w:p>
            <w:pPr>
              <w:widowControl/>
              <w:spacing w:line="320" w:lineRule="exact"/>
              <w:ind w:left="-107" w:leftChars="-51" w:right="-107" w:rightChars="-51"/>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社会公益组织</w:t>
            </w:r>
          </w:p>
        </w:tc>
        <w:tc>
          <w:tcPr>
            <w:tcW w:w="708" w:type="dxa"/>
            <w:shd w:val="clear" w:color="auto" w:fill="auto"/>
            <w:tcMar>
              <w:left w:w="108" w:type="dxa"/>
              <w:right w:w="108" w:type="dxa"/>
            </w:tcMar>
            <w:vAlign w:val="center"/>
          </w:tcPr>
          <w:p>
            <w:pPr>
              <w:widowControl/>
              <w:spacing w:line="320" w:lineRule="exact"/>
              <w:ind w:left="-106" w:leftChars="-51" w:right="-107" w:rightChars="-51" w:hanging="1"/>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法律服务机构</w:t>
            </w:r>
          </w:p>
        </w:tc>
        <w:tc>
          <w:tcPr>
            <w:tcW w:w="567" w:type="dxa"/>
            <w:shd w:val="clear" w:color="auto" w:fill="auto"/>
            <w:tcMar>
              <w:left w:w="108" w:type="dxa"/>
              <w:right w:w="108" w:type="dxa"/>
            </w:tcMar>
            <w:vAlign w:val="center"/>
          </w:tcPr>
          <w:p>
            <w:pPr>
              <w:widowControl/>
              <w:spacing w:line="360" w:lineRule="exact"/>
              <w:ind w:left="-63" w:leftChars="-30" w:right="-134" w:rightChars="-64"/>
              <w:jc w:val="center"/>
              <w:rPr>
                <w:rFonts w:hint="default" w:ascii="Times New Roman" w:hAnsi="Times New Roman" w:eastAsia="黑体" w:cs="Times New Roman"/>
                <w:szCs w:val="21"/>
              </w:rPr>
            </w:pPr>
            <w:r>
              <w:rPr>
                <w:rFonts w:hint="default" w:ascii="Times New Roman" w:hAnsi="Times New Roman" w:eastAsia="黑体" w:cs="Times New Roman"/>
                <w:kern w:val="0"/>
                <w:szCs w:val="21"/>
              </w:rPr>
              <w:t>其他</w:t>
            </w:r>
          </w:p>
        </w:tc>
        <w:tc>
          <w:tcPr>
            <w:tcW w:w="851" w:type="dxa"/>
            <w:vMerge w:val="continue"/>
            <w:shd w:val="clear" w:color="auto" w:fill="auto"/>
            <w:tcMar>
              <w:left w:w="108" w:type="dxa"/>
              <w:right w:w="108" w:type="dxa"/>
            </w:tcMar>
            <w:vAlign w:val="center"/>
          </w:tcPr>
          <w:p>
            <w:pPr>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093" w:type="dxa"/>
            <w:gridSpan w:val="3"/>
            <w:shd w:val="clear" w:color="auto" w:fill="auto"/>
            <w:tcMar>
              <w:left w:w="108" w:type="dxa"/>
              <w:right w:w="108" w:type="dxa"/>
            </w:tcMar>
            <w:vAlign w:val="center"/>
          </w:tcPr>
          <w:p>
            <w:pPr>
              <w:widowControl/>
              <w:rPr>
                <w:rFonts w:hint="default" w:ascii="Times New Roman" w:hAnsi="Times New Roman" w:eastAsia="黑体" w:cs="Times New Roman"/>
                <w:szCs w:val="21"/>
              </w:rPr>
            </w:pPr>
            <w:r>
              <w:rPr>
                <w:rFonts w:hint="default" w:ascii="Times New Roman" w:hAnsi="Times New Roman" w:eastAsia="黑体" w:cs="Times New Roman"/>
                <w:kern w:val="0"/>
                <w:szCs w:val="21"/>
              </w:rPr>
              <w:t>一、</w:t>
            </w:r>
            <w:bookmarkStart w:id="0" w:name="_Hlk66973412"/>
            <w:r>
              <w:rPr>
                <w:rFonts w:hint="default" w:ascii="Times New Roman" w:hAnsi="Times New Roman" w:eastAsia="黑体" w:cs="Times New Roman"/>
                <w:kern w:val="0"/>
                <w:szCs w:val="21"/>
              </w:rPr>
              <w:t>本年新收政府信息公开申请数量</w:t>
            </w:r>
            <w:bookmarkEnd w:id="0"/>
          </w:p>
        </w:tc>
        <w:tc>
          <w:tcPr>
            <w:tcW w:w="829"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36</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36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5093" w:type="dxa"/>
            <w:gridSpan w:val="3"/>
            <w:shd w:val="clear" w:color="auto" w:fill="auto"/>
            <w:tcMar>
              <w:left w:w="108" w:type="dxa"/>
              <w:right w:w="108" w:type="dxa"/>
            </w:tcMar>
            <w:vAlign w:val="center"/>
          </w:tcPr>
          <w:p>
            <w:pPr>
              <w:widowControl/>
              <w:rPr>
                <w:rFonts w:hint="default" w:ascii="Times New Roman" w:hAnsi="Times New Roman" w:eastAsia="黑体" w:cs="Times New Roman"/>
                <w:szCs w:val="21"/>
              </w:rPr>
            </w:pPr>
            <w:r>
              <w:rPr>
                <w:rFonts w:hint="default" w:ascii="Times New Roman" w:hAnsi="Times New Roman" w:eastAsia="黑体" w:cs="Times New Roman"/>
                <w:kern w:val="0"/>
                <w:szCs w:val="21"/>
              </w:rPr>
              <w:t>二、上年结转政府信息公开申请数量</w:t>
            </w:r>
          </w:p>
        </w:tc>
        <w:tc>
          <w:tcPr>
            <w:tcW w:w="829"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restart"/>
            <w:shd w:val="clear" w:color="auto" w:fill="auto"/>
            <w:tcMar>
              <w:left w:w="108" w:type="dxa"/>
              <w:right w:w="108" w:type="dxa"/>
            </w:tcMar>
            <w:vAlign w:val="center"/>
          </w:tcPr>
          <w:p>
            <w:pPr>
              <w:widowControl/>
              <w:spacing w:after="180"/>
              <w:rPr>
                <w:rFonts w:hint="default" w:ascii="Times New Roman" w:hAnsi="Times New Roman" w:eastAsia="黑体" w:cs="Times New Roman"/>
                <w:szCs w:val="21"/>
              </w:rPr>
            </w:pPr>
            <w:r>
              <w:rPr>
                <w:rFonts w:hint="default" w:ascii="Times New Roman" w:hAnsi="Times New Roman" w:eastAsia="黑体" w:cs="Times New Roman"/>
                <w:kern w:val="0"/>
                <w:szCs w:val="21"/>
              </w:rPr>
              <w:t>三、本年度办理结果</w:t>
            </w:r>
          </w:p>
        </w:tc>
        <w:tc>
          <w:tcPr>
            <w:tcW w:w="4677" w:type="dxa"/>
            <w:gridSpan w:val="2"/>
            <w:shd w:val="clear" w:color="auto" w:fill="auto"/>
            <w:tcMar>
              <w:left w:w="108" w:type="dxa"/>
              <w:right w:w="108" w:type="dxa"/>
            </w:tcMar>
            <w:vAlign w:val="center"/>
          </w:tcPr>
          <w:p>
            <w:pPr>
              <w:widowControl/>
              <w:rPr>
                <w:rFonts w:hint="default" w:ascii="Times New Roman" w:hAnsi="Times New Roman" w:eastAsia="黑体" w:cs="Times New Roman"/>
                <w:szCs w:val="21"/>
              </w:rPr>
            </w:pPr>
            <w:r>
              <w:rPr>
                <w:rFonts w:hint="default" w:ascii="Times New Roman" w:hAnsi="Times New Roman" w:eastAsia="黑体" w:cs="Times New Roman"/>
                <w:kern w:val="0"/>
                <w:szCs w:val="21"/>
              </w:rPr>
              <w:t>（一）予以公开</w:t>
            </w:r>
          </w:p>
        </w:tc>
        <w:tc>
          <w:tcPr>
            <w:tcW w:w="829"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2</w:t>
            </w:r>
            <w:r>
              <w:rPr>
                <w:rFonts w:hint="eastAsia" w:ascii="Times New Roman" w:hAnsi="Times New Roman" w:eastAsia="仿宋_GB2312" w:cs="Times New Roman"/>
                <w:szCs w:val="21"/>
                <w:lang w:val="en-US" w:eastAsia="zh-CN"/>
              </w:rPr>
              <w:t>8</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2</w:t>
            </w:r>
            <w:r>
              <w:rPr>
                <w:rFonts w:hint="eastAsia" w:ascii="Times New Roman" w:hAnsi="Times New Roman" w:eastAsia="仿宋_GB2312" w:cs="Times New Roman"/>
                <w:szCs w:val="21"/>
                <w:lang w:val="en-US" w:eastAsia="zh-CN"/>
              </w:rPr>
              <w:t>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4677" w:type="dxa"/>
            <w:gridSpan w:val="2"/>
            <w:shd w:val="clear" w:color="auto" w:fill="auto"/>
            <w:tcMar>
              <w:left w:w="108" w:type="dxa"/>
              <w:right w:w="108" w:type="dxa"/>
            </w:tcMar>
            <w:vAlign w:val="center"/>
          </w:tcPr>
          <w:p>
            <w:pPr>
              <w:widowControl/>
              <w:rPr>
                <w:rFonts w:hint="default" w:ascii="Times New Roman" w:hAnsi="Times New Roman" w:eastAsia="黑体" w:cs="Times New Roman"/>
                <w:szCs w:val="21"/>
              </w:rPr>
            </w:pPr>
            <w:r>
              <w:rPr>
                <w:rFonts w:hint="default" w:ascii="Times New Roman" w:hAnsi="Times New Roman" w:eastAsia="黑体" w:cs="Times New Roman"/>
                <w:kern w:val="0"/>
                <w:szCs w:val="21"/>
              </w:rPr>
              <w:t>（二）部分公开（</w:t>
            </w:r>
            <w:bookmarkStart w:id="1" w:name="_Hlk66973981"/>
            <w:r>
              <w:rPr>
                <w:rFonts w:hint="default" w:ascii="Times New Roman" w:hAnsi="Times New Roman" w:eastAsia="黑体" w:cs="Times New Roman"/>
                <w:kern w:val="0"/>
                <w:szCs w:val="21"/>
              </w:rPr>
              <w:t>区分处理的，只计这一情形，不计其他情形</w:t>
            </w:r>
            <w:bookmarkEnd w:id="1"/>
            <w:r>
              <w:rPr>
                <w:rFonts w:hint="default" w:ascii="Times New Roman" w:hAnsi="Times New Roman" w:eastAsia="黑体" w:cs="Times New Roman"/>
                <w:kern w:val="0"/>
                <w:szCs w:val="21"/>
              </w:rPr>
              <w:t>）</w:t>
            </w:r>
          </w:p>
        </w:tc>
        <w:tc>
          <w:tcPr>
            <w:tcW w:w="829"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hint="default" w:ascii="Times New Roman" w:hAnsi="Times New Roman" w:eastAsia="黑体" w:cs="Times New Roman"/>
                <w:szCs w:val="21"/>
              </w:rPr>
            </w:pPr>
            <w:r>
              <w:rPr>
                <w:rFonts w:hint="default" w:ascii="Times New Roman" w:hAnsi="Times New Roman" w:eastAsia="黑体" w:cs="Times New Roman"/>
                <w:kern w:val="0"/>
                <w:szCs w:val="21"/>
              </w:rPr>
              <w:t>（三）不予公开</w:t>
            </w: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1.属于国家秘密</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bookmarkStart w:id="2" w:name="_Hlk66974104"/>
            <w:r>
              <w:rPr>
                <w:rFonts w:hint="default" w:ascii="Times New Roman" w:hAnsi="Times New Roman" w:eastAsia="仿宋_GB2312" w:cs="Times New Roman"/>
                <w:kern w:val="0"/>
                <w:szCs w:val="21"/>
              </w:rPr>
              <w:t>其他法律行政法规禁止公开</w:t>
            </w:r>
            <w:bookmarkEnd w:id="2"/>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3.危及“三安全一稳定”</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4.</w:t>
            </w:r>
            <w:bookmarkStart w:id="3" w:name="_Hlk66974290"/>
            <w:r>
              <w:rPr>
                <w:rFonts w:hint="default" w:ascii="Times New Roman" w:hAnsi="Times New Roman" w:eastAsia="仿宋_GB2312" w:cs="Times New Roman"/>
                <w:kern w:val="0"/>
                <w:szCs w:val="21"/>
              </w:rPr>
              <w:t>保护第三方合法权益</w:t>
            </w:r>
            <w:bookmarkEnd w:id="3"/>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5.属于三类内部事务信息</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6.</w:t>
            </w:r>
            <w:bookmarkStart w:id="4" w:name="_Hlk66974555"/>
            <w:r>
              <w:rPr>
                <w:rFonts w:hint="default" w:ascii="Times New Roman" w:hAnsi="Times New Roman" w:eastAsia="仿宋_GB2312" w:cs="Times New Roman"/>
                <w:kern w:val="0"/>
                <w:szCs w:val="21"/>
              </w:rPr>
              <w:t>属于四类过程性信息</w:t>
            </w:r>
            <w:bookmarkEnd w:id="4"/>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7.属于行政执法案卷</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8.</w:t>
            </w:r>
            <w:bookmarkStart w:id="5" w:name="_Hlk66975211"/>
            <w:r>
              <w:rPr>
                <w:rFonts w:hint="default" w:ascii="Times New Roman" w:hAnsi="Times New Roman" w:eastAsia="仿宋_GB2312" w:cs="Times New Roman"/>
                <w:kern w:val="0"/>
                <w:szCs w:val="21"/>
              </w:rPr>
              <w:t>属于行政查询事项</w:t>
            </w:r>
            <w:bookmarkEnd w:id="5"/>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hint="default" w:ascii="Times New Roman" w:hAnsi="Times New Roman" w:eastAsia="黑体" w:cs="Times New Roman"/>
                <w:szCs w:val="21"/>
              </w:rPr>
            </w:pPr>
            <w:r>
              <w:rPr>
                <w:rFonts w:hint="default" w:ascii="Times New Roman" w:hAnsi="Times New Roman" w:eastAsia="黑体" w:cs="Times New Roman"/>
                <w:kern w:val="0"/>
                <w:szCs w:val="21"/>
              </w:rPr>
              <w:t>（四）无法提供</w:t>
            </w: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1.本机关不掌握相关政府信息</w:t>
            </w:r>
          </w:p>
        </w:tc>
        <w:tc>
          <w:tcPr>
            <w:tcW w:w="829"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8</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eastAsia" w:ascii="Times New Roman" w:hAnsi="Times New Roman" w:eastAsia="仿宋_GB2312" w:cs="Times New Roman"/>
                <w:szCs w:val="21"/>
                <w:lang w:val="en-US" w:eastAsia="zh-CN"/>
              </w:rPr>
              <w:t>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ind w:left="-107" w:leftChars="-51"/>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w:t>
            </w:r>
            <w:bookmarkStart w:id="6" w:name="_Hlk66975392"/>
            <w:r>
              <w:rPr>
                <w:rFonts w:hint="default" w:ascii="Times New Roman" w:hAnsi="Times New Roman" w:eastAsia="仿宋_GB2312" w:cs="Times New Roman"/>
                <w:kern w:val="0"/>
                <w:szCs w:val="21"/>
              </w:rPr>
              <w:t>没有现成信息需要另行制作</w:t>
            </w:r>
            <w:bookmarkEnd w:id="6"/>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ind w:left="-107" w:leftChars="-51"/>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3.</w:t>
            </w:r>
            <w:bookmarkStart w:id="7" w:name="_Hlk66975466"/>
            <w:r>
              <w:rPr>
                <w:rFonts w:hint="default" w:ascii="Times New Roman" w:hAnsi="Times New Roman" w:eastAsia="仿宋_GB2312" w:cs="Times New Roman"/>
                <w:kern w:val="0"/>
                <w:szCs w:val="21"/>
              </w:rPr>
              <w:t>补正后申请内容仍不明确</w:t>
            </w:r>
            <w:bookmarkEnd w:id="7"/>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200" w:lineRule="exact"/>
              <w:ind w:left="-107" w:leftChars="-51"/>
              <w:rPr>
                <w:rFonts w:hint="default" w:ascii="Times New Roman" w:hAnsi="Times New Roman" w:eastAsia="黑体" w:cs="Times New Roman"/>
                <w:szCs w:val="21"/>
              </w:rPr>
            </w:pPr>
            <w:r>
              <w:rPr>
                <w:rFonts w:hint="default" w:ascii="Times New Roman" w:hAnsi="Times New Roman" w:eastAsia="黑体" w:cs="Times New Roman"/>
                <w:kern w:val="0"/>
                <w:szCs w:val="21"/>
              </w:rPr>
              <w:t>（五）不予处理</w:t>
            </w: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1.</w:t>
            </w:r>
            <w:bookmarkStart w:id="8" w:name="_Hlk66975537"/>
            <w:r>
              <w:rPr>
                <w:rFonts w:hint="default" w:ascii="Times New Roman" w:hAnsi="Times New Roman" w:eastAsia="仿宋_GB2312" w:cs="Times New Roman"/>
                <w:kern w:val="0"/>
                <w:szCs w:val="21"/>
              </w:rPr>
              <w:t>信访举报投诉类申请</w:t>
            </w:r>
            <w:bookmarkEnd w:id="8"/>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2.重复申请</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54"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szCs w:val="21"/>
              </w:rPr>
            </w:pPr>
            <w:r>
              <w:rPr>
                <w:rFonts w:hint="default" w:ascii="Times New Roman" w:hAnsi="Times New Roman" w:eastAsia="仿宋_GB2312" w:cs="Times New Roman"/>
                <w:kern w:val="0"/>
                <w:szCs w:val="21"/>
              </w:rPr>
              <w:t>3.要求提供公开出版物</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97" w:hRule="exact"/>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200" w:lineRule="exact"/>
              <w:rPr>
                <w:rFonts w:hint="default" w:ascii="Times New Roman" w:hAnsi="Times New Roman" w:eastAsia="仿宋_GB2312" w:cs="Times New Roman"/>
                <w:szCs w:val="21"/>
              </w:rPr>
            </w:pPr>
            <w:r>
              <w:rPr>
                <w:rFonts w:hint="default" w:ascii="Times New Roman" w:hAnsi="Times New Roman" w:eastAsia="仿宋_GB2312" w:cs="Times New Roman"/>
                <w:kern w:val="0"/>
                <w:szCs w:val="21"/>
              </w:rPr>
              <w:t>4.无正当理由大量反复申请</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spacing w:line="200" w:lineRule="exact"/>
              <w:rPr>
                <w:rFonts w:hint="default" w:ascii="Times New Roman" w:hAnsi="Times New Roman" w:eastAsia="黑体" w:cs="Times New Roman"/>
                <w:szCs w:val="21"/>
              </w:rPr>
            </w:pPr>
          </w:p>
        </w:tc>
        <w:tc>
          <w:tcPr>
            <w:tcW w:w="2976" w:type="dxa"/>
            <w:shd w:val="clear" w:color="auto" w:fill="auto"/>
            <w:tcMar>
              <w:left w:w="108" w:type="dxa"/>
              <w:right w:w="108" w:type="dxa"/>
            </w:tcMar>
            <w:vAlign w:val="center"/>
          </w:tcPr>
          <w:p>
            <w:pPr>
              <w:widowControl/>
              <w:spacing w:line="3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kern w:val="0"/>
                <w:szCs w:val="21"/>
              </w:rPr>
              <w:t>5.要求行政机关确认或重新</w:t>
            </w:r>
          </w:p>
          <w:p>
            <w:pPr>
              <w:widowControl/>
              <w:spacing w:line="300" w:lineRule="exact"/>
              <w:ind w:firstLine="210" w:firstLineChars="100"/>
              <w:rPr>
                <w:rFonts w:hint="default" w:ascii="Times New Roman" w:hAnsi="Times New Roman" w:eastAsia="仿宋_GB2312" w:cs="Times New Roman"/>
                <w:szCs w:val="21"/>
              </w:rPr>
            </w:pPr>
            <w:r>
              <w:rPr>
                <w:rFonts w:hint="default" w:ascii="Times New Roman" w:hAnsi="Times New Roman" w:eastAsia="仿宋_GB2312" w:cs="Times New Roman"/>
                <w:kern w:val="0"/>
                <w:szCs w:val="21"/>
              </w:rPr>
              <w:t>出具已获取信息</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restart"/>
            <w:shd w:val="clear" w:color="auto" w:fill="auto"/>
            <w:tcMar>
              <w:left w:w="108" w:type="dxa"/>
              <w:right w:w="108" w:type="dxa"/>
            </w:tcMar>
            <w:vAlign w:val="center"/>
          </w:tcPr>
          <w:p>
            <w:pPr>
              <w:widowControl/>
              <w:spacing w:line="300" w:lineRule="exact"/>
              <w:rPr>
                <w:rFonts w:hint="default" w:ascii="Times New Roman" w:hAnsi="Times New Roman" w:eastAsia="黑体" w:cs="Times New Roman"/>
                <w:kern w:val="0"/>
                <w:szCs w:val="21"/>
              </w:rPr>
            </w:pPr>
            <w:r>
              <w:rPr>
                <w:rFonts w:hint="default" w:ascii="Times New Roman" w:hAnsi="Times New Roman" w:eastAsia="黑体" w:cs="Times New Roman"/>
                <w:kern w:val="0"/>
                <w:szCs w:val="21"/>
              </w:rPr>
              <w:t>（六）其他处理</w:t>
            </w:r>
          </w:p>
        </w:tc>
        <w:tc>
          <w:tcPr>
            <w:tcW w:w="2976" w:type="dxa"/>
            <w:shd w:val="clear" w:color="auto" w:fill="auto"/>
            <w:vAlign w:val="center"/>
          </w:tcPr>
          <w:p>
            <w:pPr>
              <w:widowControl/>
              <w:spacing w:line="300" w:lineRule="exact"/>
              <w:rPr>
                <w:rFonts w:hint="default" w:ascii="Times New Roman" w:hAnsi="Times New Roman" w:eastAsia="仿宋_GB2312" w:cs="Times New Roman"/>
              </w:rPr>
            </w:pPr>
            <w:r>
              <w:rPr>
                <w:rFonts w:hint="default" w:ascii="Times New Roman" w:hAnsi="Times New Roman" w:eastAsia="仿宋_GB2312" w:cs="Times New Roman"/>
              </w:rPr>
              <w:t>1.申请人无正当理由逾期不补正、行政机关不再处理其政府信息公开申请</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widowControl/>
              <w:spacing w:line="300" w:lineRule="exact"/>
              <w:rPr>
                <w:rFonts w:hint="default" w:ascii="Times New Roman" w:hAnsi="Times New Roman" w:eastAsia="黑体" w:cs="Times New Roman"/>
                <w:kern w:val="0"/>
                <w:szCs w:val="21"/>
              </w:rPr>
            </w:pPr>
          </w:p>
        </w:tc>
        <w:tc>
          <w:tcPr>
            <w:tcW w:w="2976" w:type="dxa"/>
            <w:shd w:val="clear" w:color="auto" w:fill="auto"/>
            <w:vAlign w:val="center"/>
          </w:tcPr>
          <w:p>
            <w:pPr>
              <w:widowControl/>
              <w:spacing w:line="3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rPr>
              <w:t>2.申请人逾期未按收费通知要求缴纳费用、行政机关不再处理其政府信息公开申请</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1701" w:type="dxa"/>
            <w:vMerge w:val="continue"/>
            <w:shd w:val="clear" w:color="auto" w:fill="auto"/>
            <w:tcMar>
              <w:left w:w="108" w:type="dxa"/>
              <w:right w:w="108" w:type="dxa"/>
            </w:tcMar>
            <w:vAlign w:val="center"/>
          </w:tcPr>
          <w:p>
            <w:pPr>
              <w:widowControl/>
              <w:spacing w:line="300" w:lineRule="exact"/>
              <w:rPr>
                <w:rFonts w:hint="default" w:ascii="Times New Roman" w:hAnsi="Times New Roman" w:eastAsia="黑体" w:cs="Times New Roman"/>
                <w:kern w:val="0"/>
                <w:szCs w:val="21"/>
              </w:rPr>
            </w:pPr>
          </w:p>
        </w:tc>
        <w:tc>
          <w:tcPr>
            <w:tcW w:w="2976" w:type="dxa"/>
            <w:shd w:val="clear" w:color="auto" w:fill="auto"/>
            <w:vAlign w:val="center"/>
          </w:tcPr>
          <w:p>
            <w:pPr>
              <w:widowControl/>
              <w:spacing w:line="300" w:lineRule="exact"/>
              <w:rPr>
                <w:rFonts w:hint="default" w:ascii="Times New Roman" w:hAnsi="Times New Roman" w:eastAsia="仿宋_GB2312" w:cs="Times New Roman"/>
                <w:kern w:val="0"/>
                <w:szCs w:val="21"/>
              </w:rPr>
            </w:pPr>
            <w:r>
              <w:rPr>
                <w:rFonts w:hint="default" w:ascii="Times New Roman" w:hAnsi="Times New Roman" w:eastAsia="仿宋_GB2312" w:cs="Times New Roman"/>
              </w:rPr>
              <w:t>3.其他</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16" w:type="dxa"/>
            <w:vMerge w:val="continue"/>
            <w:shd w:val="clear" w:color="auto" w:fill="auto"/>
            <w:tcMar>
              <w:left w:w="108" w:type="dxa"/>
              <w:right w:w="108" w:type="dxa"/>
            </w:tcMar>
            <w:vAlign w:val="center"/>
          </w:tcPr>
          <w:p>
            <w:pPr>
              <w:rPr>
                <w:rFonts w:hint="default" w:ascii="Times New Roman" w:hAnsi="Times New Roman" w:eastAsia="黑体" w:cs="Times New Roman"/>
                <w:szCs w:val="21"/>
              </w:rPr>
            </w:pPr>
          </w:p>
        </w:tc>
        <w:tc>
          <w:tcPr>
            <w:tcW w:w="4677" w:type="dxa"/>
            <w:gridSpan w:val="2"/>
            <w:shd w:val="clear" w:color="auto" w:fill="auto"/>
            <w:tcMar>
              <w:left w:w="108" w:type="dxa"/>
              <w:right w:w="108" w:type="dxa"/>
            </w:tcMar>
            <w:vAlign w:val="center"/>
          </w:tcPr>
          <w:p>
            <w:pPr>
              <w:widowControl/>
              <w:spacing w:line="300" w:lineRule="exact"/>
              <w:rPr>
                <w:rFonts w:hint="default" w:ascii="Times New Roman" w:hAnsi="Times New Roman" w:eastAsia="黑体" w:cs="Times New Roman"/>
                <w:kern w:val="0"/>
                <w:szCs w:val="21"/>
              </w:rPr>
            </w:pPr>
            <w:r>
              <w:rPr>
                <w:rFonts w:hint="default" w:ascii="Times New Roman" w:hAnsi="Times New Roman" w:eastAsia="黑体" w:cs="Times New Roman"/>
                <w:kern w:val="0"/>
                <w:szCs w:val="21"/>
              </w:rPr>
              <w:t>（七）总计</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36</w:t>
            </w: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36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5093" w:type="dxa"/>
            <w:gridSpan w:val="3"/>
            <w:shd w:val="clear" w:color="auto" w:fill="auto"/>
            <w:tcMar>
              <w:left w:w="108" w:type="dxa"/>
              <w:right w:w="108" w:type="dxa"/>
            </w:tcMar>
            <w:vAlign w:val="center"/>
          </w:tcPr>
          <w:p>
            <w:pPr>
              <w:widowControl/>
              <w:spacing w:line="300" w:lineRule="exact"/>
              <w:rPr>
                <w:rFonts w:hint="default" w:ascii="Times New Roman" w:hAnsi="Times New Roman" w:eastAsia="黑体" w:cs="Times New Roman"/>
                <w:kern w:val="0"/>
                <w:szCs w:val="21"/>
              </w:rPr>
            </w:pPr>
            <w:r>
              <w:rPr>
                <w:rFonts w:hint="default" w:ascii="Times New Roman" w:hAnsi="Times New Roman" w:eastAsia="黑体" w:cs="Times New Roman"/>
                <w:kern w:val="0"/>
                <w:szCs w:val="21"/>
              </w:rPr>
              <w:t>四、结转下年度继续办理</w:t>
            </w:r>
          </w:p>
        </w:tc>
        <w:tc>
          <w:tcPr>
            <w:tcW w:w="829"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line="200" w:lineRule="exact"/>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3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708"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567"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c>
          <w:tcPr>
            <w:tcW w:w="851" w:type="dxa"/>
            <w:shd w:val="clear" w:color="auto" w:fill="auto"/>
            <w:tcMar>
              <w:left w:w="108" w:type="dxa"/>
              <w:right w:w="108" w:type="dxa"/>
            </w:tcMar>
            <w:vAlign w:val="center"/>
          </w:tcPr>
          <w:p>
            <w:pPr>
              <w:widowControl/>
              <w:spacing w:after="180"/>
              <w:jc w:val="center"/>
              <w:rPr>
                <w:rFonts w:hint="default" w:ascii="Times New Roman" w:hAnsi="Times New Roman" w:eastAsia="仿宋_GB2312" w:cs="Times New Roman"/>
                <w:szCs w:val="21"/>
                <w:lang w:val="en-US" w:eastAsia="zh-CN"/>
              </w:rPr>
            </w:pPr>
            <w:r>
              <w:rPr>
                <w:rFonts w:hint="default" w:ascii="Times New Roman" w:hAnsi="Times New Roman" w:eastAsia="仿宋_GB2312" w:cs="Times New Roman"/>
                <w:szCs w:val="21"/>
                <w:lang w:val="en-US" w:eastAsia="zh-CN"/>
              </w:rPr>
              <w:t>0</w:t>
            </w:r>
          </w:p>
        </w:tc>
      </w:tr>
    </w:tbl>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right="0" w:rightChars="0"/>
        <w:jc w:val="left"/>
        <w:rPr>
          <w:rFonts w:hint="default" w:ascii="Times New Roman" w:hAnsi="Times New Roman" w:eastAsia="黑体" w:cs="Times New Roman"/>
          <w:sz w:val="32"/>
          <w:szCs w:val="32"/>
        </w:rPr>
      </w:pPr>
    </w:p>
    <w:p>
      <w:pPr>
        <w:pStyle w:val="2"/>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leftChars="0" w:right="0" w:firstLine="640" w:firstLineChars="0"/>
        <w:jc w:val="lef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因政府信息公开工作被申请行政复议、提起行政诉讼情况</w:t>
      </w:r>
    </w:p>
    <w:tbl>
      <w:tblPr>
        <w:tblStyle w:val="3"/>
        <w:tblW w:w="9071"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97" w:hRule="atLeast"/>
          <w:jc w:val="center"/>
        </w:trPr>
        <w:tc>
          <w:tcPr>
            <w:tcW w:w="3074" w:type="dxa"/>
            <w:gridSpan w:val="5"/>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widowControl/>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行政复议</w:t>
            </w:r>
          </w:p>
        </w:tc>
        <w:tc>
          <w:tcPr>
            <w:tcW w:w="5997" w:type="dxa"/>
            <w:gridSpan w:val="10"/>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行政诉讼</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47" w:hRule="atLeast"/>
          <w:jc w:val="center"/>
        </w:trPr>
        <w:tc>
          <w:tcPr>
            <w:tcW w:w="604" w:type="dxa"/>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widowControl/>
              <w:ind w:left="-149" w:leftChars="-71" w:right="-170" w:rightChars="-81"/>
              <w:jc w:val="center"/>
              <w:rPr>
                <w:rFonts w:hint="default" w:ascii="Times New Roman" w:hAnsi="Times New Roman" w:eastAsia="黑体" w:cs="Times New Roman"/>
                <w:kern w:val="0"/>
                <w:sz w:val="20"/>
                <w:szCs w:val="20"/>
              </w:rPr>
            </w:pPr>
            <w:r>
              <w:rPr>
                <w:rFonts w:hint="default" w:ascii="Times New Roman" w:hAnsi="Times New Roman" w:eastAsia="黑体" w:cs="Times New Roman"/>
                <w:kern w:val="0"/>
                <w:sz w:val="20"/>
                <w:szCs w:val="20"/>
              </w:rPr>
              <w:t>结果</w:t>
            </w:r>
          </w:p>
          <w:p>
            <w:pPr>
              <w:widowControl/>
              <w:ind w:left="-149" w:leftChars="-71" w:right="-170" w:rightChars="-81"/>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维持</w:t>
            </w:r>
          </w:p>
        </w:tc>
        <w:tc>
          <w:tcPr>
            <w:tcW w:w="604" w:type="dxa"/>
            <w:vMerge w:val="restart"/>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43" w:leftChars="-21" w:right="-132" w:rightChars="-63" w:hanging="1"/>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结果纠正</w:t>
            </w:r>
          </w:p>
        </w:tc>
        <w:tc>
          <w:tcPr>
            <w:tcW w:w="604"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82" w:leftChars="-39" w:right="-97" w:rightChars="-46"/>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其他结果</w:t>
            </w:r>
          </w:p>
        </w:tc>
        <w:tc>
          <w:tcPr>
            <w:tcW w:w="604"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18" w:leftChars="-56" w:right="-118" w:rightChars="-56"/>
              <w:jc w:val="center"/>
              <w:rPr>
                <w:rFonts w:hint="default" w:ascii="Times New Roman" w:hAnsi="Times New Roman" w:eastAsia="黑体" w:cs="Times New Roman"/>
                <w:kern w:val="0"/>
                <w:sz w:val="20"/>
                <w:szCs w:val="20"/>
              </w:rPr>
            </w:pPr>
            <w:r>
              <w:rPr>
                <w:rFonts w:hint="default" w:ascii="Times New Roman" w:hAnsi="Times New Roman" w:eastAsia="黑体" w:cs="Times New Roman"/>
                <w:kern w:val="0"/>
                <w:sz w:val="20"/>
                <w:szCs w:val="20"/>
              </w:rPr>
              <w:t>尚未</w:t>
            </w:r>
          </w:p>
          <w:p>
            <w:pPr>
              <w:widowControl/>
              <w:ind w:left="-118" w:leftChars="-56" w:right="-118" w:rightChars="-56"/>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审结</w:t>
            </w:r>
          </w:p>
        </w:tc>
        <w:tc>
          <w:tcPr>
            <w:tcW w:w="658"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spacing w:line="320" w:lineRule="exact"/>
              <w:jc w:val="center"/>
              <w:rPr>
                <w:rFonts w:hint="default" w:ascii="Times New Roman" w:hAnsi="Times New Roman" w:eastAsia="黑体" w:cs="Times New Roman"/>
                <w:kern w:val="0"/>
                <w:sz w:val="20"/>
                <w:szCs w:val="20"/>
              </w:rPr>
            </w:pPr>
            <w:r>
              <w:rPr>
                <w:rFonts w:hint="default" w:ascii="Times New Roman" w:hAnsi="Times New Roman" w:eastAsia="黑体" w:cs="Times New Roman"/>
                <w:kern w:val="0"/>
                <w:sz w:val="20"/>
                <w:szCs w:val="20"/>
              </w:rPr>
              <w:t>总</w:t>
            </w:r>
          </w:p>
          <w:p>
            <w:pPr>
              <w:widowControl/>
              <w:spacing w:line="320" w:lineRule="exact"/>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计</w:t>
            </w:r>
          </w:p>
        </w:tc>
        <w:tc>
          <w:tcPr>
            <w:tcW w:w="2970"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未经复议直接起诉</w:t>
            </w:r>
          </w:p>
        </w:tc>
        <w:tc>
          <w:tcPr>
            <w:tcW w:w="3027"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hint="default" w:ascii="Times New Roman" w:hAnsi="Times New Roman" w:eastAsia="黑体" w:cs="Times New Roman"/>
              </w:rPr>
            </w:pPr>
            <w:bookmarkStart w:id="9" w:name="_Hlk67039688"/>
            <w:r>
              <w:rPr>
                <w:rFonts w:hint="default" w:ascii="Times New Roman" w:hAnsi="Times New Roman" w:eastAsia="黑体" w:cs="Times New Roman"/>
                <w:kern w:val="0"/>
                <w:sz w:val="20"/>
                <w:szCs w:val="20"/>
              </w:rPr>
              <w:t>复议后起诉</w:t>
            </w:r>
            <w:bookmarkEnd w:id="9"/>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906" w:hRule="atLeast"/>
          <w:jc w:val="center"/>
        </w:trPr>
        <w:tc>
          <w:tcPr>
            <w:tcW w:w="604"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hint="default" w:ascii="Times New Roman" w:hAnsi="Times New Roman" w:eastAsia="黑体" w:cs="Times New Roman"/>
                <w:sz w:val="24"/>
              </w:rPr>
            </w:pPr>
          </w:p>
        </w:tc>
        <w:tc>
          <w:tcPr>
            <w:tcW w:w="604" w:type="dxa"/>
            <w:vMerge w:val="continue"/>
            <w:tcBorders>
              <w:top w:val="nil"/>
              <w:left w:val="nil"/>
              <w:bottom w:val="single" w:color="auto" w:sz="8" w:space="0"/>
              <w:right w:val="single" w:color="auto" w:sz="8" w:space="0"/>
            </w:tcBorders>
            <w:shd w:val="clear" w:color="auto" w:fill="auto"/>
            <w:tcMar>
              <w:left w:w="108" w:type="dxa"/>
              <w:right w:w="108" w:type="dxa"/>
            </w:tcMar>
            <w:vAlign w:val="center"/>
          </w:tcPr>
          <w:p>
            <w:pPr>
              <w:rPr>
                <w:rFonts w:hint="default" w:ascii="Times New Roman" w:hAnsi="Times New Roman" w:eastAsia="黑体" w:cs="Times New Roman"/>
                <w:sz w:val="24"/>
              </w:rPr>
            </w:pPr>
          </w:p>
        </w:tc>
        <w:tc>
          <w:tcPr>
            <w:tcW w:w="604"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hint="default" w:ascii="Times New Roman" w:hAnsi="Times New Roman" w:eastAsia="黑体" w:cs="Times New Roman"/>
                <w:sz w:val="24"/>
              </w:rPr>
            </w:pPr>
          </w:p>
        </w:tc>
        <w:tc>
          <w:tcPr>
            <w:tcW w:w="604"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hint="default" w:ascii="Times New Roman" w:hAnsi="Times New Roman" w:eastAsia="黑体" w:cs="Times New Roman"/>
                <w:sz w:val="24"/>
              </w:rPr>
            </w:pPr>
          </w:p>
        </w:tc>
        <w:tc>
          <w:tcPr>
            <w:tcW w:w="658"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hint="default" w:ascii="Times New Roman" w:hAnsi="Times New Roman" w:eastAsia="黑体" w:cs="Times New Roman"/>
                <w:sz w:val="24"/>
              </w:rPr>
            </w:pPr>
          </w:p>
        </w:tc>
        <w:tc>
          <w:tcPr>
            <w:tcW w:w="550"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105" w:leftChars="-50" w:right="-126" w:rightChars="-60"/>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结果维持</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widowControl/>
              <w:ind w:left="-86" w:leftChars="-41" w:right="-88" w:rightChars="-42"/>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结果纠正</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26" w:leftChars="-60" w:right="-136" w:rightChars="-65"/>
              <w:jc w:val="center"/>
              <w:rPr>
                <w:rFonts w:hint="default" w:ascii="Times New Roman" w:hAnsi="Times New Roman" w:eastAsia="黑体" w:cs="Times New Roman"/>
                <w:kern w:val="0"/>
                <w:sz w:val="20"/>
                <w:szCs w:val="20"/>
              </w:rPr>
            </w:pPr>
            <w:r>
              <w:rPr>
                <w:rFonts w:hint="default" w:ascii="Times New Roman" w:hAnsi="Times New Roman" w:eastAsia="黑体" w:cs="Times New Roman"/>
                <w:kern w:val="0"/>
                <w:sz w:val="20"/>
                <w:szCs w:val="20"/>
              </w:rPr>
              <w:t>其他</w:t>
            </w:r>
          </w:p>
          <w:p>
            <w:pPr>
              <w:widowControl/>
              <w:ind w:left="-126" w:leftChars="-60" w:right="-136" w:rightChars="-65"/>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结果</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64" w:leftChars="-78" w:right="-153" w:rightChars="-73"/>
              <w:jc w:val="center"/>
              <w:rPr>
                <w:rFonts w:hint="default" w:ascii="Times New Roman" w:hAnsi="Times New Roman" w:eastAsia="黑体" w:cs="Times New Roman"/>
                <w:kern w:val="0"/>
                <w:sz w:val="20"/>
                <w:szCs w:val="20"/>
              </w:rPr>
            </w:pPr>
            <w:r>
              <w:rPr>
                <w:rFonts w:hint="default" w:ascii="Times New Roman" w:hAnsi="Times New Roman" w:eastAsia="黑体" w:cs="Times New Roman"/>
                <w:kern w:val="0"/>
                <w:sz w:val="20"/>
                <w:szCs w:val="20"/>
              </w:rPr>
              <w:t>尚未</w:t>
            </w:r>
          </w:p>
          <w:p>
            <w:pPr>
              <w:widowControl/>
              <w:ind w:left="-164" w:leftChars="-78" w:right="-153" w:rightChars="-73"/>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审结</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总计</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99" w:leftChars="-47" w:right="-78" w:rightChars="-37"/>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结果维持</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36" w:leftChars="-65" w:right="-124" w:rightChars="-59"/>
              <w:jc w:val="center"/>
              <w:rPr>
                <w:rFonts w:hint="default" w:ascii="Times New Roman" w:hAnsi="Times New Roman" w:eastAsia="黑体" w:cs="Times New Roman"/>
                <w:kern w:val="0"/>
                <w:sz w:val="20"/>
                <w:szCs w:val="20"/>
              </w:rPr>
            </w:pPr>
            <w:r>
              <w:rPr>
                <w:rFonts w:hint="default" w:ascii="Times New Roman" w:hAnsi="Times New Roman" w:eastAsia="黑体" w:cs="Times New Roman"/>
                <w:kern w:val="0"/>
                <w:sz w:val="20"/>
                <w:szCs w:val="20"/>
              </w:rPr>
              <w:t>结果</w:t>
            </w:r>
          </w:p>
          <w:p>
            <w:pPr>
              <w:widowControl/>
              <w:ind w:left="-136" w:leftChars="-65" w:right="-124" w:rightChars="-59"/>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纠正</w:t>
            </w:r>
          </w:p>
        </w:tc>
        <w:tc>
          <w:tcPr>
            <w:tcW w:w="605"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173" w:leftChars="-83" w:right="-134" w:rightChars="-64" w:hanging="1"/>
              <w:jc w:val="center"/>
              <w:rPr>
                <w:rFonts w:hint="default" w:ascii="Times New Roman" w:hAnsi="Times New Roman" w:eastAsia="黑体" w:cs="Times New Roman"/>
                <w:kern w:val="0"/>
                <w:sz w:val="20"/>
                <w:szCs w:val="20"/>
              </w:rPr>
            </w:pPr>
            <w:r>
              <w:rPr>
                <w:rFonts w:hint="default" w:ascii="Times New Roman" w:hAnsi="Times New Roman" w:eastAsia="黑体" w:cs="Times New Roman"/>
                <w:kern w:val="0"/>
                <w:sz w:val="20"/>
                <w:szCs w:val="20"/>
              </w:rPr>
              <w:t>其他</w:t>
            </w:r>
          </w:p>
          <w:p>
            <w:pPr>
              <w:widowControl/>
              <w:ind w:left="-173" w:leftChars="-83" w:right="-134" w:rightChars="-64" w:hanging="1"/>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结果</w:t>
            </w:r>
          </w:p>
        </w:tc>
        <w:tc>
          <w:tcPr>
            <w:tcW w:w="60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ind w:left="-67" w:leftChars="-33" w:right="-105" w:rightChars="-50" w:hanging="2" w:hangingChars="1"/>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尚未审结</w:t>
            </w:r>
          </w:p>
        </w:tc>
        <w:tc>
          <w:tcPr>
            <w:tcW w:w="606"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widowControl/>
              <w:jc w:val="center"/>
              <w:rPr>
                <w:rFonts w:hint="default" w:ascii="Times New Roman" w:hAnsi="Times New Roman" w:eastAsia="黑体" w:cs="Times New Roman"/>
              </w:rPr>
            </w:pPr>
            <w:r>
              <w:rPr>
                <w:rFonts w:hint="default" w:ascii="Times New Roman" w:hAnsi="Times New Roman" w:eastAsia="黑体" w:cs="Times New Roman"/>
                <w:kern w:val="0"/>
                <w:sz w:val="20"/>
                <w:szCs w:val="20"/>
              </w:rPr>
              <w:t>总计</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04"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lang w:val="en-US" w:eastAsia="zh-CN"/>
              </w:rPr>
              <w:t>1</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eastAsia" w:ascii="Times New Roman" w:hAnsi="Times New Roman" w:eastAsia="宋体" w:cs="Times New Roman"/>
                <w:sz w:val="24"/>
                <w:szCs w:val="24"/>
                <w:lang w:val="en-US" w:eastAsia="zh-CN"/>
              </w:rPr>
              <w:t>1</w:t>
            </w:r>
          </w:p>
        </w:tc>
        <w:tc>
          <w:tcPr>
            <w:tcW w:w="604"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58"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eastAsia" w:ascii="Times New Roman" w:hAnsi="Times New Roman" w:eastAsia="宋体" w:cs="Times New Roman"/>
                <w:sz w:val="24"/>
                <w:szCs w:val="24"/>
                <w:lang w:val="en-US" w:eastAsia="zh-CN"/>
              </w:rPr>
              <w:t>2</w:t>
            </w:r>
          </w:p>
        </w:tc>
        <w:tc>
          <w:tcPr>
            <w:tcW w:w="550"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eastAsia" w:ascii="Times New Roman" w:hAnsi="Times New Roman" w:eastAsia="宋体" w:cs="Times New Roman"/>
                <w:sz w:val="24"/>
                <w:szCs w:val="24"/>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eastAsia" w:ascii="Times New Roman" w:hAnsi="Times New Roman" w:cs="Times New Roman" w:eastAsiaTheme="minorEastAsia"/>
                <w:lang w:eastAsia="zh-CN"/>
              </w:rPr>
            </w:pPr>
            <w:r>
              <w:rPr>
                <w:rFonts w:hint="eastAsia" w:ascii="Times New Roman" w:hAnsi="Times New Roman" w:eastAsia="宋体" w:cs="Times New Roman"/>
                <w:sz w:val="24"/>
                <w:szCs w:val="24"/>
                <w:lang w:val="en-US" w:eastAsia="zh-CN"/>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0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06"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c>
          <w:tcPr>
            <w:tcW w:w="606"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17" w:lineRule="atLeast"/>
              <w:ind w:left="0" w:leftChars="0" w:right="0" w:rightChars="0"/>
              <w:jc w:val="both"/>
              <w:rPr>
                <w:rFonts w:hint="default" w:ascii="Times New Roman" w:hAnsi="Times New Roman" w:cs="Times New Roman"/>
              </w:rPr>
            </w:pPr>
            <w:r>
              <w:rPr>
                <w:rFonts w:hint="default" w:ascii="Times New Roman" w:hAnsi="Times New Roman" w:eastAsia="宋体" w:cs="Times New Roman"/>
                <w:sz w:val="24"/>
                <w:szCs w:val="24"/>
              </w:rPr>
              <w:t>0</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right="0" w:firstLine="420"/>
        <w:jc w:val="left"/>
        <w:rPr>
          <w:rFonts w:hint="default" w:ascii="Times New Roman" w:hAnsi="Times New Roman" w:cs="Times New Roman"/>
          <w:sz w:val="13"/>
          <w:szCs w:val="13"/>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leftChars="0" w:right="0" w:firstLine="640" w:firstLineChars="0"/>
        <w:jc w:val="left"/>
        <w:rPr>
          <w:rFonts w:hint="default" w:ascii="Times New Roman" w:hAnsi="Times New Roman" w:cs="Times New Roman"/>
          <w:sz w:val="13"/>
          <w:szCs w:val="13"/>
        </w:rPr>
      </w:pPr>
      <w:r>
        <w:rPr>
          <w:rFonts w:hint="default" w:ascii="Times New Roman" w:hAnsi="Times New Roman" w:eastAsia="黑体" w:cs="Times New Roman"/>
          <w:sz w:val="32"/>
          <w:szCs w:val="32"/>
          <w:lang w:eastAsia="zh-CN"/>
        </w:rPr>
        <w:t>五、</w:t>
      </w:r>
      <w:r>
        <w:rPr>
          <w:rFonts w:hint="default" w:ascii="Times New Roman" w:hAnsi="Times New Roman" w:eastAsia="黑体" w:cs="Times New Roman"/>
          <w:sz w:val="32"/>
          <w:szCs w:val="32"/>
        </w:rPr>
        <w:t>存在的主要问题及改进情况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rFonts w:hint="default" w:ascii="Times New Roman" w:hAnsi="Times New Roman" w:eastAsia="楷体" w:cs="Times New Roman"/>
          <w:color w:val="333333"/>
          <w:sz w:val="32"/>
          <w:szCs w:val="32"/>
          <w:shd w:val="clear" w:fill="FFFFFF"/>
        </w:rPr>
      </w:pPr>
      <w:r>
        <w:rPr>
          <w:rFonts w:hint="default" w:ascii="Times New Roman" w:hAnsi="Times New Roman" w:eastAsia="楷体" w:cs="Times New Roman"/>
          <w:color w:val="333333"/>
          <w:sz w:val="32"/>
          <w:szCs w:val="32"/>
          <w:shd w:val="clear" w:fill="FFFFFF"/>
        </w:rPr>
        <w:t>（一）主要问题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rPr>
        <w:t>2021年，政务信息公开工作存在的问题和不足，一是队伍建设薄弱、力量缺乏。负责政务公开的同志为局办公室工作人员,属兼职,缺乏对政务公开工作理论知识系统性学习;二是重点领域信息公开力度还需要加强，因本单位部分信息涉及隐私性较强和保密要求较多，一些栏目和信息无法进行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rFonts w:hint="default" w:ascii="Times New Roman" w:hAnsi="Times New Roman" w:eastAsia="楷体" w:cs="Times New Roman"/>
          <w:color w:val="333333"/>
          <w:sz w:val="32"/>
          <w:szCs w:val="32"/>
          <w:shd w:val="clear" w:fill="FFFFFF"/>
        </w:rPr>
      </w:pPr>
      <w:r>
        <w:rPr>
          <w:rFonts w:hint="default" w:ascii="Times New Roman" w:hAnsi="Times New Roman" w:eastAsia="楷体" w:cs="Times New Roman"/>
          <w:color w:val="333333"/>
          <w:sz w:val="32"/>
          <w:szCs w:val="32"/>
          <w:shd w:val="clear" w:fill="FFFFFF"/>
        </w:rPr>
        <w:t>（二）改进措施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rPr>
        <w:t>一是拓宽公开渠道，加大公开力度。将政务公开工作列入各科室、局属各单位的考核目标中去，明确工作职责，及时发布工作推进完成情况等信息。同时，不断调整和充实政府信息公开内容，不断拓宽公开渠道，提高信息发布效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rPr>
        <w:t>二是强化机制执行，提高公开质量。严格落实政务公开工作各项规章制度，不断规范工作程序，创新工作方式，做到应公开尽公开，高质量公开，推动我局政务公开工作在制度化、规范化、常态化方面取得新突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634"/>
        <w:jc w:val="left"/>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rPr>
        <w:t>三是加强培训交流，提升工作成效。一方面加大相关人员系统操作、依申请公开答复等业务知识的学习培训力度，提升工作人员对政务公开有关细则和政策的把握能力，提高业务水平；另一方面加强与区政府办公室的对接沟通，积极参加上级部门组织的有关培训，遇到问题及时协调处理，认真听取上级的意见建议，做到信息公开及时、准确和全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leftChars="0" w:right="0" w:firstLine="640" w:firstLineChars="200"/>
        <w:jc w:val="left"/>
        <w:rPr>
          <w:rFonts w:hint="default" w:ascii="Times New Roman" w:hAnsi="Times New Roman" w:eastAsia="仿宋" w:cs="Times New Roman"/>
          <w:color w:val="333333"/>
          <w:sz w:val="32"/>
          <w:szCs w:val="32"/>
          <w:shd w:val="clear" w:fill="FFFFFF"/>
        </w:rPr>
      </w:pPr>
      <w:r>
        <w:rPr>
          <w:rFonts w:hint="default" w:ascii="Times New Roman" w:hAnsi="Times New Roman" w:eastAsia="仿宋" w:cs="Times New Roman"/>
          <w:color w:val="333333"/>
          <w:sz w:val="32"/>
          <w:szCs w:val="32"/>
          <w:shd w:val="clear" w:fill="FFFFFF"/>
        </w:rPr>
        <w:t>四是加强组织领导，健全工作机制。要求做到主要负责人要亲自过问，分管负责人要直接参与、全程指导、动态调整各功能科室的具体工作；优化人员配备，科学人员培训，准确把握政策文件精神，不断提升专业素养，着力打造一支政治素质好、业务能力强、相对稳定的过硬队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leftChars="0" w:right="0" w:firstLine="640" w:firstLineChars="200"/>
        <w:jc w:val="left"/>
        <w:rPr>
          <w:rFonts w:hint="default" w:ascii="Times New Roman" w:hAnsi="Times New Roman" w:cs="Times New Roman"/>
          <w:sz w:val="13"/>
          <w:szCs w:val="13"/>
        </w:rPr>
      </w:pPr>
      <w:r>
        <w:rPr>
          <w:rFonts w:hint="default" w:ascii="Times New Roman" w:hAnsi="Times New Roman" w:eastAsia="黑体" w:cs="Times New Roman"/>
          <w:sz w:val="32"/>
          <w:szCs w:val="32"/>
          <w:lang w:eastAsia="zh-CN"/>
        </w:rPr>
        <w:t>六、</w:t>
      </w:r>
      <w:r>
        <w:rPr>
          <w:rFonts w:hint="default" w:ascii="Times New Roman" w:hAnsi="Times New Roman" w:eastAsia="黑体" w:cs="Times New Roman"/>
          <w:sz w:val="32"/>
          <w:szCs w:val="32"/>
        </w:rPr>
        <w:t>其他需要报告的事项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2" w:lineRule="atLeast"/>
        <w:ind w:left="0" w:leftChars="0" w:right="0" w:firstLine="640" w:firstLineChars="200"/>
        <w:jc w:val="left"/>
        <w:rPr>
          <w:rFonts w:hint="default" w:ascii="Times New Roman" w:hAnsi="Times New Roman" w:cs="Times New Roman"/>
          <w:sz w:val="13"/>
          <w:szCs w:val="13"/>
        </w:rPr>
      </w:pPr>
      <w:r>
        <w:rPr>
          <w:rFonts w:hint="default" w:ascii="Times New Roman" w:hAnsi="Times New Roman" w:eastAsia="仿宋" w:cs="Times New Roman"/>
          <w:color w:val="333333"/>
          <w:sz w:val="32"/>
          <w:szCs w:val="32"/>
          <w:shd w:val="clear" w:fill="FFFFFF"/>
        </w:rPr>
        <w:t>2021年区人大第十二届五次会议共交办我局建议6件，3件为主办件，3件为协办件；区政协九届五次会议共交办我局提案5件，4件为主办件，其中主办重点提案1件，协办提案1件。均在规定期限内办理完毕。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4795"/>
        <w:jc w:val="left"/>
        <w:rPr>
          <w:rFonts w:hint="default" w:ascii="Times New Roman" w:hAnsi="Times New Roman" w:cs="Times New Roman"/>
          <w:sz w:val="13"/>
          <w:szCs w:val="13"/>
        </w:rPr>
      </w:pPr>
      <w:r>
        <w:rPr>
          <w:rFonts w:hint="default" w:ascii="Times New Roman" w:hAnsi="Times New Roman" w:eastAsia="仿宋" w:cs="Times New Roman"/>
          <w:color w:val="333333"/>
          <w:sz w:val="32"/>
          <w:szCs w:val="32"/>
          <w:shd w:val="clear" w:fill="FFFFFF"/>
        </w:rPr>
        <w:t>薛城区自然资源局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5" w:lineRule="atLeast"/>
        <w:ind w:left="0" w:right="0" w:firstLine="4795"/>
        <w:jc w:val="left"/>
        <w:rPr>
          <w:rFonts w:hint="default" w:ascii="Times New Roman" w:hAnsi="Times New Roman" w:cs="Times New Roman"/>
          <w:sz w:val="13"/>
          <w:szCs w:val="13"/>
        </w:rPr>
      </w:pPr>
      <w:r>
        <w:rPr>
          <w:rFonts w:hint="default" w:ascii="Times New Roman" w:hAnsi="Times New Roman" w:eastAsia="仿宋" w:cs="Times New Roman"/>
          <w:color w:val="333333"/>
          <w:sz w:val="32"/>
          <w:szCs w:val="32"/>
          <w:shd w:val="clear" w:fill="FFFFFF"/>
        </w:rPr>
        <w:t>202</w:t>
      </w:r>
      <w:r>
        <w:rPr>
          <w:rFonts w:hint="default" w:ascii="Times New Roman" w:hAnsi="Times New Roman" w:eastAsia="仿宋" w:cs="Times New Roman"/>
          <w:color w:val="333333"/>
          <w:sz w:val="32"/>
          <w:szCs w:val="32"/>
          <w:shd w:val="clear" w:fill="FFFFFF"/>
          <w:lang w:val="en-US" w:eastAsia="zh-CN"/>
        </w:rPr>
        <w:t>2</w:t>
      </w:r>
      <w:r>
        <w:rPr>
          <w:rFonts w:hint="default" w:ascii="Times New Roman" w:hAnsi="Times New Roman" w:eastAsia="仿宋" w:cs="Times New Roman"/>
          <w:color w:val="333333"/>
          <w:sz w:val="32"/>
          <w:szCs w:val="32"/>
          <w:shd w:val="clear" w:fill="FFFFFF"/>
        </w:rPr>
        <w:t>年1月2</w:t>
      </w:r>
      <w:r>
        <w:rPr>
          <w:rFonts w:hint="default" w:ascii="Times New Roman" w:hAnsi="Times New Roman" w:eastAsia="仿宋" w:cs="Times New Roman"/>
          <w:color w:val="333333"/>
          <w:sz w:val="32"/>
          <w:szCs w:val="32"/>
          <w:shd w:val="clear" w:fill="FFFFFF"/>
          <w:lang w:val="en-US" w:eastAsia="zh-CN"/>
        </w:rPr>
        <w:t>6</w:t>
      </w:r>
      <w:r>
        <w:rPr>
          <w:rFonts w:hint="default" w:ascii="Times New Roman" w:hAnsi="Times New Roman" w:eastAsia="仿宋" w:cs="Times New Roman"/>
          <w:color w:val="333333"/>
          <w:sz w:val="32"/>
          <w:szCs w:val="32"/>
          <w:shd w:val="clear" w:fill="FFFFFF"/>
        </w:rPr>
        <w:t>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60" w:lineRule="atLeast"/>
        <w:ind w:left="0" w:right="0" w:firstLine="420"/>
        <w:jc w:val="left"/>
        <w:rPr>
          <w:rFonts w:hint="default" w:ascii="Times New Roman" w:hAnsi="Times New Roman" w:cs="Times New Roman"/>
          <w:sz w:val="16"/>
          <w:szCs w:val="16"/>
        </w:rPr>
      </w:pPr>
    </w:p>
    <w:sectPr>
      <w:pgSz w:w="11906" w:h="16838"/>
      <w:pgMar w:top="1383" w:right="1800" w:bottom="138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方正公文小标宋">
    <w:altName w:val="方正小标宋_GBK"/>
    <w:panose1 w:val="02000500000000000000"/>
    <w:charset w:val="86"/>
    <w:family w:val="auto"/>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decorative"/>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930F6E"/>
    <w:multiLevelType w:val="singleLevel"/>
    <w:tmpl w:val="F6930F6E"/>
    <w:lvl w:ilvl="0" w:tentative="0">
      <w:start w:val="1"/>
      <w:numFmt w:val="chineseCounting"/>
      <w:suff w:val="nothing"/>
      <w:lvlText w:val="（%1）"/>
      <w:lvlJc w:val="left"/>
      <w:rPr>
        <w:rFonts w:hint="eastAsia"/>
      </w:rPr>
    </w:lvl>
  </w:abstractNum>
  <w:abstractNum w:abstractNumId="1">
    <w:nsid w:val="2CA9B286"/>
    <w:multiLevelType w:val="singleLevel"/>
    <w:tmpl w:val="2CA9B286"/>
    <w:lvl w:ilvl="0" w:tentative="0">
      <w:start w:val="2"/>
      <w:numFmt w:val="chineseCounting"/>
      <w:suff w:val="nothing"/>
      <w:lvlText w:val="%1、"/>
      <w:lvlJc w:val="left"/>
      <w:rPr>
        <w:rFonts w:hint="eastAsia"/>
      </w:rPr>
    </w:lvl>
  </w:abstractNum>
  <w:abstractNum w:abstractNumId="2">
    <w:nsid w:val="515EC3A4"/>
    <w:multiLevelType w:val="singleLevel"/>
    <w:tmpl w:val="515EC3A4"/>
    <w:lvl w:ilvl="0" w:tentative="0">
      <w:start w:val="3"/>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306163"/>
    <w:rsid w:val="0D306163"/>
    <w:rsid w:val="12542187"/>
    <w:rsid w:val="400F6E7A"/>
    <w:rsid w:val="68CE0A72"/>
    <w:rsid w:val="7B624C37"/>
    <w:rsid w:val="FBF9B1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yperlink"/>
    <w:basedOn w:val="4"/>
    <w:qFormat/>
    <w:uiPriority w:val="0"/>
    <w:rPr>
      <w:color w:val="0000FF"/>
      <w:u w:val="single"/>
    </w:rPr>
  </w:style>
  <w:style w:type="table" w:customStyle="1" w:styleId="7">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26</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2022-01-26T16:43:00Z</dcterms:created>
  <dc:creator>PSG</dc:creator>
  <cp:lastModifiedBy>user</cp:lastModifiedBy>
  <dcterms:modified xsi:type="dcterms:W3CDTF">2022-07-22T09:46:14Z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1C8987D17C6B4B7E817D08A0FEE92872</vt:lpwstr>
  </property>
</Properties>
</file>