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Times New Roman" w:hAnsi="Times New Roman" w:eastAsia="方正小标宋简体" w:cs="Times New Roman"/>
          <w:color w:val="000000"/>
          <w:kern w:val="16"/>
          <w:sz w:val="44"/>
          <w:szCs w:val="44"/>
        </w:rPr>
      </w:pPr>
      <w:r>
        <w:rPr>
          <w:rFonts w:hint="default" w:ascii="Times New Roman" w:hAnsi="Times New Roman" w:eastAsia="方正小标宋简体" w:cs="Times New Roman"/>
          <w:color w:val="000000"/>
          <w:kern w:val="16"/>
          <w:sz w:val="44"/>
          <w:szCs w:val="44"/>
          <w:lang w:val="en-US" w:eastAsia="zh-CN"/>
        </w:rPr>
        <w:t>薛城区城乡水务局202</w:t>
      </w:r>
      <w:r>
        <w:rPr>
          <w:rFonts w:hint="eastAsia" w:ascii="Times New Roman" w:hAnsi="Times New Roman" w:eastAsia="方正小标宋简体" w:cs="Times New Roman"/>
          <w:color w:val="000000"/>
          <w:kern w:val="16"/>
          <w:sz w:val="44"/>
          <w:szCs w:val="44"/>
          <w:lang w:val="en-US" w:eastAsia="zh-CN"/>
        </w:rPr>
        <w:t>2</w:t>
      </w:r>
      <w:r>
        <w:rPr>
          <w:rFonts w:hint="default" w:ascii="Times New Roman" w:hAnsi="Times New Roman" w:eastAsia="方正小标宋简体" w:cs="Times New Roman"/>
          <w:color w:val="000000"/>
          <w:kern w:val="16"/>
          <w:sz w:val="44"/>
          <w:szCs w:val="44"/>
          <w:lang w:val="en-US" w:eastAsia="zh-CN"/>
        </w:rPr>
        <w:t>年政府信息</w:t>
      </w:r>
      <w:r>
        <w:rPr>
          <w:rFonts w:hint="default" w:ascii="Times New Roman" w:hAnsi="Times New Roman" w:eastAsia="方正小标宋简体" w:cs="Times New Roman"/>
          <w:color w:val="000000"/>
          <w:kern w:val="16"/>
          <w:sz w:val="44"/>
          <w:szCs w:val="44"/>
        </w:rPr>
        <w:t>公开</w:t>
      </w:r>
    </w:p>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Times New Roman" w:hAnsi="Times New Roman" w:eastAsia="方正小标宋简体" w:cs="Times New Roman"/>
          <w:color w:val="000000"/>
          <w:kern w:val="16"/>
          <w:sz w:val="44"/>
          <w:szCs w:val="44"/>
        </w:rPr>
      </w:pPr>
      <w:r>
        <w:rPr>
          <w:rFonts w:hint="default" w:ascii="Times New Roman" w:hAnsi="Times New Roman" w:eastAsia="方正小标宋简体" w:cs="Times New Roman"/>
          <w:color w:val="000000"/>
          <w:kern w:val="16"/>
          <w:sz w:val="44"/>
          <w:szCs w:val="44"/>
          <w:lang w:val="en-US" w:eastAsia="zh-CN"/>
        </w:rPr>
        <w:t>工作</w:t>
      </w:r>
      <w:r>
        <w:rPr>
          <w:rFonts w:hint="default" w:ascii="Times New Roman" w:hAnsi="Times New Roman" w:eastAsia="方正小标宋简体" w:cs="Times New Roman"/>
          <w:color w:val="000000"/>
          <w:kern w:val="16"/>
          <w:sz w:val="44"/>
          <w:szCs w:val="44"/>
        </w:rPr>
        <w:t>年度报告</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color w:val="000000"/>
          <w:kern w:val="0"/>
          <w:sz w:val="32"/>
          <w:szCs w:val="32"/>
          <w:lang w:val="en-US" w:eastAsia="zh-CN"/>
        </w:rPr>
        <w:t>根据《中华人民共和国政府信息公开条例》（国务院令第711号，以下简称《条例》）和《国务院办公厅政府信息与政务公开办公室关于政府信息公开工作年度报告有关事项的通知》（国办公开办函</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2019</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60号）要求，现就推进政府信息公开工作情况，向社会公布薛城区城乡水务局202</w:t>
      </w:r>
      <w:r>
        <w:rPr>
          <w:rFonts w:hint="eastAsia" w:ascii="Times New Roman" w:hAnsi="Times New Roman" w:eastAsia="仿宋_GB2312" w:cs="Times New Roman"/>
          <w:color w:val="000000"/>
          <w:kern w:val="0"/>
          <w:sz w:val="32"/>
          <w:szCs w:val="32"/>
          <w:lang w:val="en-US" w:eastAsia="zh-CN"/>
        </w:rPr>
        <w:t>2</w:t>
      </w:r>
      <w:r>
        <w:rPr>
          <w:rFonts w:hint="default" w:ascii="Times New Roman" w:hAnsi="Times New Roman" w:eastAsia="仿宋_GB2312" w:cs="Times New Roman"/>
          <w:color w:val="000000"/>
          <w:kern w:val="0"/>
          <w:sz w:val="32"/>
          <w:szCs w:val="32"/>
          <w:lang w:val="en-US" w:eastAsia="zh-CN"/>
        </w:rPr>
        <w:t>年政府信息公开工作年度报告。本报告包括总体情况、主动公开政府信息情况、收到和处理政府信息公开申请情况、政府信息公开行政复议和行政诉讼情况、存在的问题及改进情况、其他需要报告的事项六个部分。本年度报告中所列数据的统计期限自202</w:t>
      </w:r>
      <w:r>
        <w:rPr>
          <w:rFonts w:hint="eastAsia" w:ascii="Times New Roman" w:hAnsi="Times New Roman" w:eastAsia="仿宋_GB2312" w:cs="Times New Roman"/>
          <w:color w:val="000000"/>
          <w:kern w:val="0"/>
          <w:sz w:val="32"/>
          <w:szCs w:val="32"/>
          <w:lang w:val="en-US" w:eastAsia="zh-CN"/>
        </w:rPr>
        <w:t>2</w:t>
      </w:r>
      <w:r>
        <w:rPr>
          <w:rFonts w:hint="default" w:ascii="Times New Roman" w:hAnsi="Times New Roman" w:eastAsia="仿宋_GB2312" w:cs="Times New Roman"/>
          <w:color w:val="000000"/>
          <w:kern w:val="0"/>
          <w:sz w:val="32"/>
          <w:szCs w:val="32"/>
          <w:lang w:val="en-US" w:eastAsia="zh-CN"/>
        </w:rPr>
        <w:t>年1月1日起至202</w:t>
      </w:r>
      <w:r>
        <w:rPr>
          <w:rFonts w:hint="eastAsia" w:ascii="Times New Roman" w:hAnsi="Times New Roman" w:eastAsia="仿宋_GB2312" w:cs="Times New Roman"/>
          <w:color w:val="000000"/>
          <w:kern w:val="0"/>
          <w:sz w:val="32"/>
          <w:szCs w:val="32"/>
          <w:lang w:val="en-US" w:eastAsia="zh-CN"/>
        </w:rPr>
        <w:t>2</w:t>
      </w:r>
      <w:r>
        <w:rPr>
          <w:rFonts w:hint="default" w:ascii="Times New Roman" w:hAnsi="Times New Roman" w:eastAsia="仿宋_GB2312" w:cs="Times New Roman"/>
          <w:color w:val="000000"/>
          <w:kern w:val="0"/>
          <w:sz w:val="32"/>
          <w:szCs w:val="32"/>
          <w:lang w:val="en-US" w:eastAsia="zh-CN"/>
        </w:rPr>
        <w:t>年12月31日止。本年度报告的电子版可以在“薛城区政府门户网站”（http://xxgk.xuecheng.gov.cn/xxgknb/2020xxgknb/）下载。如对本报告有疑问，可与</w:t>
      </w:r>
      <w:r>
        <w:rPr>
          <w:rFonts w:hint="default" w:ascii="Times New Roman" w:hAnsi="Times New Roman" w:eastAsia="仿宋_GB2312" w:cs="Times New Roman"/>
          <w:i w:val="0"/>
          <w:iCs w:val="0"/>
          <w:caps w:val="0"/>
          <w:color w:val="auto"/>
          <w:spacing w:val="0"/>
          <w:sz w:val="32"/>
          <w:szCs w:val="32"/>
          <w:u w:val="none"/>
          <w:shd w:val="clear" w:fill="FFFFFF"/>
          <w:lang w:eastAsia="zh-CN"/>
        </w:rPr>
        <w:t>薛城区</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城乡水务局</w:t>
      </w:r>
      <w:r>
        <w:rPr>
          <w:rFonts w:hint="default" w:ascii="Times New Roman" w:hAnsi="Times New Roman" w:eastAsia="仿宋_GB2312" w:cs="Times New Roman"/>
          <w:i w:val="0"/>
          <w:iCs w:val="0"/>
          <w:caps w:val="0"/>
          <w:color w:val="auto"/>
          <w:spacing w:val="0"/>
          <w:sz w:val="32"/>
          <w:szCs w:val="32"/>
          <w:u w:val="none"/>
          <w:shd w:val="clear" w:fill="FFFFFF"/>
        </w:rPr>
        <w:t>办公室</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联系（</w:t>
      </w:r>
      <w:r>
        <w:rPr>
          <w:rFonts w:hint="default" w:ascii="Times New Roman" w:hAnsi="Times New Roman" w:eastAsia="仿宋_GB2312" w:cs="Times New Roman"/>
          <w:i w:val="0"/>
          <w:iCs w:val="0"/>
          <w:caps w:val="0"/>
          <w:color w:val="auto"/>
          <w:spacing w:val="0"/>
          <w:sz w:val="32"/>
          <w:szCs w:val="32"/>
          <w:u w:val="none"/>
          <w:shd w:val="clear" w:fill="FFFFFF"/>
        </w:rPr>
        <w:t>地址：枣庄市薛城区凤城路区城乡水务局办公室205室</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邮编：277000</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联系电话：0632</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4412527</w:t>
      </w:r>
      <w:r>
        <w:rPr>
          <w:rFonts w:hint="default" w:ascii="Times New Roman" w:hAnsi="Times New Roman" w:eastAsia="仿宋_GB2312" w:cs="Times New Roman"/>
          <w:i w:val="0"/>
          <w:iCs w:val="0"/>
          <w:caps w:val="0"/>
          <w:color w:val="auto"/>
          <w:spacing w:val="0"/>
          <w:sz w:val="32"/>
          <w:szCs w:val="32"/>
          <w:u w:val="none"/>
          <w:shd w:val="clear" w:fill="FFFFFF"/>
          <w:lang w:eastAsia="zh-CN"/>
        </w:rPr>
        <w:t>，</w:t>
      </w:r>
      <w:r>
        <w:rPr>
          <w:rFonts w:hint="default" w:ascii="Times New Roman" w:hAnsi="Times New Roman" w:eastAsia="仿宋_GB2312" w:cs="Times New Roman"/>
          <w:i w:val="0"/>
          <w:iCs w:val="0"/>
          <w:caps w:val="0"/>
          <w:color w:val="auto"/>
          <w:spacing w:val="0"/>
          <w:sz w:val="32"/>
          <w:szCs w:val="32"/>
          <w:u w:val="none"/>
          <w:shd w:val="clear" w:fill="FFFFFF"/>
        </w:rPr>
        <w:t>电子信箱：</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fldChar w:fldCharType="begin"/>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instrText xml:space="preserve"> HYPERLINK "mailto:xcqcxswj@zz.shandong.cn）。" </w:instrTex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fldChar w:fldCharType="separate"/>
      </w:r>
      <w:r>
        <w:rPr>
          <w:rStyle w:val="7"/>
          <w:rFonts w:hint="default" w:ascii="Times New Roman" w:hAnsi="Times New Roman" w:eastAsia="仿宋_GB2312" w:cs="Times New Roman"/>
          <w:i w:val="0"/>
          <w:iCs w:val="0"/>
          <w:caps w:val="0"/>
          <w:color w:val="auto"/>
          <w:spacing w:val="0"/>
          <w:sz w:val="32"/>
          <w:szCs w:val="32"/>
          <w:u w:val="none"/>
          <w:shd w:val="clear" w:fill="FFFFFF"/>
          <w:lang w:val="en-US" w:eastAsia="zh-CN"/>
        </w:rPr>
        <w:t>xcqcxswj@zz.shandong.cn）。</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fldChar w:fldCharType="end"/>
      </w:r>
    </w:p>
    <w:p>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一</w:t>
      </w:r>
      <w:r>
        <w:rPr>
          <w:rFonts w:hint="eastAsia" w:ascii="Times New Roman" w:hAnsi="Times New Roman" w:eastAsia="黑体" w:cs="Times New Roman"/>
          <w:color w:val="000000"/>
          <w:kern w:val="0"/>
          <w:sz w:val="32"/>
          <w:szCs w:val="32"/>
          <w:lang w:eastAsia="zh-CN"/>
        </w:rPr>
        <w:t>、</w:t>
      </w:r>
      <w:r>
        <w:rPr>
          <w:rFonts w:hint="default" w:ascii="Times New Roman" w:hAnsi="Times New Roman" w:eastAsia="黑体" w:cs="Times New Roman"/>
          <w:color w:val="000000"/>
          <w:kern w:val="0"/>
          <w:sz w:val="32"/>
          <w:szCs w:val="32"/>
          <w:lang w:val="en-US" w:eastAsia="zh-CN"/>
        </w:rPr>
        <w:t>整体</w:t>
      </w:r>
      <w:r>
        <w:rPr>
          <w:rFonts w:hint="default" w:ascii="Times New Roman" w:hAnsi="Times New Roman" w:eastAsia="黑体" w:cs="Times New Roman"/>
          <w:color w:val="000000"/>
          <w:kern w:val="0"/>
          <w:sz w:val="32"/>
          <w:szCs w:val="32"/>
        </w:rPr>
        <w:t>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2022年，薛城区城乡水务局政务公开工作在薛城区委、区政府的正确领导下，在各职能科室的积极配合下，认真贯彻落实《条例》，围绕工作中心、真抓实干、不断深化政务公开，取得了较好的成效。</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楷体_GB2312" w:hAnsi="楷体_GB2312" w:eastAsia="楷体_GB2312" w:cs="楷体_GB2312"/>
          <w:i w:val="0"/>
          <w:iCs w:val="0"/>
          <w:caps w:val="0"/>
          <w:color w:val="auto"/>
          <w:spacing w:val="0"/>
          <w:sz w:val="32"/>
          <w:szCs w:val="32"/>
          <w:u w:val="none"/>
          <w:shd w:val="clear" w:fill="FFFFFF"/>
          <w:lang w:val="en-US" w:eastAsia="zh-CN"/>
        </w:rPr>
      </w:pPr>
      <w:r>
        <w:rPr>
          <w:rFonts w:hint="eastAsia" w:ascii="楷体_GB2312" w:hAnsi="楷体_GB2312" w:eastAsia="楷体_GB2312" w:cs="楷体_GB2312"/>
          <w:i w:val="0"/>
          <w:iCs w:val="0"/>
          <w:caps w:val="0"/>
          <w:color w:val="auto"/>
          <w:spacing w:val="0"/>
          <w:sz w:val="32"/>
          <w:szCs w:val="32"/>
          <w:u w:val="none"/>
          <w:shd w:val="clear" w:fill="FFFFFF"/>
          <w:lang w:val="en-US" w:eastAsia="zh-CN"/>
        </w:rPr>
        <w:t>（一）主动公开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iCs w:val="0"/>
          <w:caps w:val="0"/>
          <w:color w:val="auto"/>
          <w:spacing w:val="0"/>
          <w:sz w:val="32"/>
          <w:szCs w:val="32"/>
          <w:u w:val="none"/>
          <w:shd w:val="clear" w:fill="FFFFFF"/>
          <w:lang w:val="en-US" w:eastAsia="zh-CN"/>
        </w:rPr>
      </w:pPr>
      <w:r>
        <w:rPr>
          <w:rFonts w:hint="default" w:ascii="Times New Roman" w:hAnsi="Times New Roman" w:eastAsia="仿宋_GB2312" w:cs="Times New Roman"/>
          <w:i w:val="0"/>
          <w:iCs w:val="0"/>
          <w:caps w:val="0"/>
          <w:color w:val="auto"/>
          <w:spacing w:val="0"/>
          <w:sz w:val="32"/>
          <w:szCs w:val="32"/>
          <w:u w:val="none"/>
          <w:shd w:val="clear" w:fill="FFFFFF"/>
          <w:lang w:val="en-US" w:eastAsia="zh-CN"/>
        </w:rPr>
        <w:t>今年以来，</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薛城区城乡水务局</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共主动公开政府信息</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190</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余条，重点领域信息公开内容进一步扩大，涉及群众切身利益的</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饮水安全状况、水土保持设施验收</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等领域</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，新增公共企事业公开（供水领域）专栏，</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政府信息更加全面。进一步做好人大代表建议和政协委员提案办理结果公开工作，共发布人大代表建议和政协委员提案办理结果、办理情况信息</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17</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条。丰富解读形式，采用“主要负责人解读”“图片解读”“</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简明问答</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”等多种形式进行解读，其中图片解读</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2条</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，主要负责人解读</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1条</w:t>
      </w:r>
      <w:r>
        <w:rPr>
          <w:rFonts w:hint="default" w:ascii="Times New Roman" w:hAnsi="Times New Roman" w:eastAsia="仿宋_GB2312" w:cs="Times New Roman"/>
          <w:i w:val="0"/>
          <w:iCs w:val="0"/>
          <w:caps w:val="0"/>
          <w:color w:val="auto"/>
          <w:spacing w:val="0"/>
          <w:sz w:val="32"/>
          <w:szCs w:val="32"/>
          <w:u w:val="none"/>
          <w:shd w:val="clear" w:fill="FFFFFF"/>
          <w:lang w:val="en-US" w:eastAsia="zh-CN"/>
        </w:rPr>
        <w:t>，</w:t>
      </w: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简明问答解读1条，文字解读2条，动漫视频解读1条，政府开放日信息1条，进一步促进了群众对政府政策性文件的了解。</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楷体_GB2312" w:hAnsi="楷体_GB2312" w:eastAsia="楷体_GB2312" w:cs="楷体_GB2312"/>
          <w:i w:val="0"/>
          <w:iCs w:val="0"/>
          <w:caps w:val="0"/>
          <w:color w:val="auto"/>
          <w:spacing w:val="0"/>
          <w:sz w:val="32"/>
          <w:szCs w:val="32"/>
          <w:u w:val="none"/>
          <w:shd w:val="clear" w:fill="FFFFFF"/>
          <w:lang w:val="en-US" w:eastAsia="zh-CN"/>
        </w:rPr>
        <w:t>依申请公开</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2022年度，薛城区城乡水务局共收到依申请公开件0件，没有被申请行政复议、提出行政诉讼。</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5" w:firstLineChars="0"/>
        <w:jc w:val="both"/>
        <w:textAlignment w:val="auto"/>
        <w:rPr>
          <w:rFonts w:hint="eastAsia" w:ascii="楷体_GB2312" w:hAnsi="楷体_GB2312" w:eastAsia="楷体_GB2312" w:cs="楷体_GB2312"/>
          <w:i w:val="0"/>
          <w:iCs w:val="0"/>
          <w:caps w:val="0"/>
          <w:color w:val="auto"/>
          <w:spacing w:val="0"/>
          <w:sz w:val="32"/>
          <w:szCs w:val="32"/>
          <w:u w:val="none"/>
          <w:shd w:val="clear" w:fill="FFFFFF"/>
          <w:lang w:val="en-US" w:eastAsia="zh-CN"/>
        </w:rPr>
      </w:pPr>
      <w:r>
        <w:rPr>
          <w:rFonts w:hint="eastAsia" w:ascii="楷体_GB2312" w:hAnsi="楷体_GB2312" w:eastAsia="楷体_GB2312" w:cs="楷体_GB2312"/>
          <w:i w:val="0"/>
          <w:iCs w:val="0"/>
          <w:caps w:val="0"/>
          <w:color w:val="auto"/>
          <w:spacing w:val="0"/>
          <w:sz w:val="32"/>
          <w:szCs w:val="32"/>
          <w:u w:val="none"/>
          <w:shd w:val="clear" w:fill="FFFFFF"/>
          <w:lang w:val="en-US" w:eastAsia="zh-CN"/>
        </w:rPr>
        <w:t>政府信息管理</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薛城区城乡水务局积极推动政务公开标准化规范化工作。自基层政务公开标准化规范化工作开展以来，严格按照全面推进政务公开标准化规范化工作的实施方案要求，明确时间节点，细化工作任务，确保政务公开工作科学化、标准化、规范化。</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45" w:firstLineChars="0"/>
        <w:jc w:val="both"/>
        <w:textAlignment w:val="auto"/>
        <w:rPr>
          <w:rFonts w:hint="eastAsia" w:ascii="楷体_GB2312" w:hAnsi="楷体_GB2312" w:eastAsia="楷体_GB2312" w:cs="楷体_GB2312"/>
          <w:i w:val="0"/>
          <w:iCs w:val="0"/>
          <w:caps w:val="0"/>
          <w:color w:val="auto"/>
          <w:spacing w:val="0"/>
          <w:sz w:val="32"/>
          <w:szCs w:val="32"/>
          <w:u w:val="none"/>
          <w:shd w:val="clear" w:fill="FFFFFF"/>
          <w:lang w:val="en-US" w:eastAsia="zh-CN"/>
        </w:rPr>
      </w:pPr>
      <w:r>
        <w:rPr>
          <w:rFonts w:hint="eastAsia" w:ascii="楷体_GB2312" w:hAnsi="楷体_GB2312" w:eastAsia="楷体_GB2312" w:cs="楷体_GB2312"/>
          <w:i w:val="0"/>
          <w:iCs w:val="0"/>
          <w:caps w:val="0"/>
          <w:color w:val="auto"/>
          <w:spacing w:val="0"/>
          <w:sz w:val="32"/>
          <w:szCs w:val="32"/>
          <w:u w:val="none"/>
          <w:shd w:val="clear" w:fill="FFFFFF"/>
          <w:lang w:val="en-US" w:eastAsia="zh-CN"/>
        </w:rPr>
        <w:t>政府信息公开平台建设</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根据政务公开新标准、新要求，及时更新本机关主动公开标准目录，及时上传、修改相关内容，确保群众能够获取并查阅到精准信息。</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5"/>
        <w:jc w:val="both"/>
        <w:textAlignment w:val="auto"/>
        <w:rPr>
          <w:rFonts w:hint="eastAsia" w:ascii="Times New Roman" w:hAnsi="Times New Roman" w:eastAsia="仿宋_GB2312" w:cs="Times New Roman"/>
          <w:i w:val="0"/>
          <w:iCs w:val="0"/>
          <w:caps w:val="0"/>
          <w:color w:val="auto"/>
          <w:spacing w:val="0"/>
          <w:sz w:val="32"/>
          <w:szCs w:val="32"/>
          <w:u w:val="none"/>
          <w:shd w:val="clear" w:fill="FFFFFF"/>
          <w:lang w:val="en-US" w:eastAsia="zh-CN"/>
        </w:rPr>
      </w:pPr>
      <w:r>
        <w:rPr>
          <w:rFonts w:hint="eastAsia" w:ascii="Times New Roman" w:hAnsi="Times New Roman" w:eastAsia="仿宋_GB2312" w:cs="Times New Roman"/>
          <w:i w:val="0"/>
          <w:iCs w:val="0"/>
          <w:caps w:val="0"/>
          <w:color w:val="auto"/>
          <w:spacing w:val="0"/>
          <w:sz w:val="32"/>
          <w:szCs w:val="32"/>
          <w:u w:val="none"/>
          <w:shd w:val="clear" w:fill="FFFFFF"/>
          <w:lang w:val="en-US" w:eastAsia="zh-CN"/>
        </w:rPr>
        <w:t>（五）监督保障。及时更新政务公开领导小组，为做好政务公开工作提供组织领导保障。为贯彻执行上级对政务公开工作的要求，进一步提高政务公开工作人员素质，制定了2022年度政务公开业务培训计划，按照计划实施开展培训。</w:t>
      </w:r>
    </w:p>
    <w:p>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二、主动公开政府信息情况</w:t>
      </w:r>
    </w:p>
    <w:tbl>
      <w:tblPr>
        <w:tblStyle w:val="5"/>
        <w:tblW w:w="5000" w:type="pct"/>
        <w:jc w:val="center"/>
        <w:tblLayout w:type="autofit"/>
        <w:tblCellMar>
          <w:top w:w="0" w:type="dxa"/>
          <w:left w:w="0" w:type="dxa"/>
          <w:bottom w:w="0" w:type="dxa"/>
          <w:right w:w="0" w:type="dxa"/>
        </w:tblCellMar>
      </w:tblPr>
      <w:tblGrid>
        <w:gridCol w:w="3252"/>
        <w:gridCol w:w="1962"/>
        <w:gridCol w:w="1425"/>
        <w:gridCol w:w="1883"/>
      </w:tblGrid>
      <w:tr>
        <w:tblPrEx>
          <w:tblCellMar>
            <w:top w:w="0" w:type="dxa"/>
            <w:left w:w="0" w:type="dxa"/>
            <w:bottom w:w="0" w:type="dxa"/>
            <w:right w:w="0" w:type="dxa"/>
          </w:tblCellMar>
        </w:tblPrEx>
        <w:trPr>
          <w:trHeight w:val="431" w:hRule="atLeast"/>
          <w:jc w:val="center"/>
        </w:trPr>
        <w:tc>
          <w:tcPr>
            <w:tcW w:w="5000" w:type="pct"/>
            <w:gridSpan w:val="4"/>
            <w:tcBorders>
              <w:top w:val="single" w:color="auto" w:sz="8" w:space="0"/>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Times New Roman" w:hAnsi="Times New Roman" w:eastAsia="宋体" w:cs="Times New Roman"/>
                <w:kern w:val="0"/>
                <w:sz w:val="24"/>
                <w:szCs w:val="24"/>
              </w:rPr>
            </w:pPr>
            <w:r>
              <w:rPr>
                <w:rFonts w:hint="default" w:ascii="Times New Roman" w:hAnsi="Times New Roman" w:eastAsia="宋体" w:cs="Times New Roman"/>
                <w:color w:val="000000"/>
                <w:kern w:val="0"/>
                <w:sz w:val="20"/>
                <w:szCs w:val="20"/>
              </w:rPr>
              <w:t>第二十条第（一）项</w:t>
            </w:r>
          </w:p>
        </w:tc>
      </w:tr>
      <w:tr>
        <w:tblPrEx>
          <w:tblCellMar>
            <w:top w:w="0" w:type="dxa"/>
            <w:left w:w="0" w:type="dxa"/>
            <w:bottom w:w="0" w:type="dxa"/>
            <w:right w:w="0" w:type="dxa"/>
          </w:tblCellMar>
        </w:tblPrEx>
        <w:trPr>
          <w:trHeight w:val="462"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信息内容</w:t>
            </w:r>
          </w:p>
        </w:tc>
        <w:tc>
          <w:tcPr>
            <w:tcW w:w="1151" w:type="pct"/>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rPr>
              <w:t>本年</w:t>
            </w:r>
            <w:r>
              <w:rPr>
                <w:rFonts w:hint="eastAsia" w:ascii="楷体" w:hAnsi="楷体" w:eastAsia="楷体" w:cs="楷体"/>
                <w:kern w:val="0"/>
                <w:sz w:val="20"/>
                <w:szCs w:val="20"/>
              </w:rPr>
              <w:t>制</w:t>
            </w:r>
            <w:r>
              <w:rPr>
                <w:rFonts w:hint="eastAsia" w:ascii="楷体" w:hAnsi="楷体" w:eastAsia="楷体" w:cs="楷体"/>
                <w:kern w:val="0"/>
                <w:sz w:val="20"/>
                <w:szCs w:val="20"/>
                <w:lang w:val="en-US" w:eastAsia="zh-CN"/>
              </w:rPr>
              <w:t>发件数</w:t>
            </w:r>
          </w:p>
        </w:tc>
        <w:tc>
          <w:tcPr>
            <w:tcW w:w="836" w:type="pc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rPr>
              <w:t>本年</w:t>
            </w:r>
            <w:r>
              <w:rPr>
                <w:rFonts w:hint="eastAsia" w:ascii="楷体" w:hAnsi="楷体" w:eastAsia="楷体" w:cs="楷体"/>
                <w:color w:val="000000"/>
                <w:kern w:val="0"/>
                <w:sz w:val="20"/>
                <w:szCs w:val="20"/>
                <w:lang w:val="en-US" w:eastAsia="zh-CN"/>
              </w:rPr>
              <w:t>废止件数</w:t>
            </w:r>
          </w:p>
        </w:tc>
        <w:tc>
          <w:tcPr>
            <w:tcW w:w="1104"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现行有效件数</w:t>
            </w:r>
          </w:p>
        </w:tc>
      </w:tr>
      <w:tr>
        <w:tblPrEx>
          <w:tblCellMar>
            <w:top w:w="0" w:type="dxa"/>
            <w:left w:w="0" w:type="dxa"/>
            <w:bottom w:w="0" w:type="dxa"/>
            <w:right w:w="0" w:type="dxa"/>
          </w:tblCellMar>
        </w:tblPrEx>
        <w:trPr>
          <w:trHeight w:val="462"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left"/>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规章</w:t>
            </w:r>
          </w:p>
        </w:tc>
        <w:tc>
          <w:tcPr>
            <w:tcW w:w="1151"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c>
          <w:tcPr>
            <w:tcW w:w="836" w:type="pc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c>
          <w:tcPr>
            <w:tcW w:w="1104"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r>
      <w:tr>
        <w:tblPrEx>
          <w:tblCellMar>
            <w:top w:w="0" w:type="dxa"/>
            <w:left w:w="0" w:type="dxa"/>
            <w:bottom w:w="0" w:type="dxa"/>
            <w:right w:w="0" w:type="dxa"/>
          </w:tblCellMar>
        </w:tblPrEx>
        <w:trPr>
          <w:trHeight w:val="348"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left"/>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规范性文件</w:t>
            </w:r>
          </w:p>
        </w:tc>
        <w:tc>
          <w:tcPr>
            <w:tcW w:w="1151"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lang w:val="en-US" w:eastAsia="zh-CN"/>
              </w:rPr>
              <w:t>0</w:t>
            </w:r>
          </w:p>
        </w:tc>
        <w:tc>
          <w:tcPr>
            <w:tcW w:w="836" w:type="pc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c>
          <w:tcPr>
            <w:tcW w:w="1104" w:type="pct"/>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r>
      <w:tr>
        <w:tblPrEx>
          <w:tblCellMar>
            <w:top w:w="0" w:type="dxa"/>
            <w:left w:w="0" w:type="dxa"/>
            <w:bottom w:w="0" w:type="dxa"/>
            <w:right w:w="0" w:type="dxa"/>
          </w:tblCellMar>
        </w:tblPrEx>
        <w:trPr>
          <w:trHeight w:val="371" w:hRule="atLeast"/>
          <w:jc w:val="center"/>
        </w:trPr>
        <w:tc>
          <w:tcPr>
            <w:tcW w:w="5000" w:type="pct"/>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第二十条第（五）项</w:t>
            </w:r>
          </w:p>
        </w:tc>
      </w:tr>
      <w:tr>
        <w:tblPrEx>
          <w:tblCellMar>
            <w:top w:w="0" w:type="dxa"/>
            <w:left w:w="0" w:type="dxa"/>
            <w:bottom w:w="0" w:type="dxa"/>
            <w:right w:w="0" w:type="dxa"/>
          </w:tblCellMar>
        </w:tblPrEx>
        <w:trPr>
          <w:trHeight w:val="634"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信息内容</w:t>
            </w:r>
          </w:p>
        </w:tc>
        <w:tc>
          <w:tcPr>
            <w:tcW w:w="3091" w:type="pct"/>
            <w:gridSpan w:val="3"/>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本年处理决定数量</w:t>
            </w:r>
          </w:p>
        </w:tc>
      </w:tr>
      <w:tr>
        <w:tblPrEx>
          <w:tblCellMar>
            <w:top w:w="0" w:type="dxa"/>
            <w:left w:w="0" w:type="dxa"/>
            <w:bottom w:w="0" w:type="dxa"/>
            <w:right w:w="0" w:type="dxa"/>
          </w:tblCellMar>
        </w:tblPrEx>
        <w:trPr>
          <w:trHeight w:val="365"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left"/>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行政许可</w:t>
            </w:r>
          </w:p>
        </w:tc>
        <w:tc>
          <w:tcPr>
            <w:tcW w:w="3091" w:type="pct"/>
            <w:gridSpan w:val="3"/>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lang w:val="en-US" w:eastAsia="zh-CN"/>
              </w:rPr>
              <w:t>0</w:t>
            </w:r>
          </w:p>
        </w:tc>
      </w:tr>
      <w:tr>
        <w:tblPrEx>
          <w:tblCellMar>
            <w:top w:w="0" w:type="dxa"/>
            <w:left w:w="0" w:type="dxa"/>
            <w:bottom w:w="0" w:type="dxa"/>
            <w:right w:w="0" w:type="dxa"/>
          </w:tblCellMar>
        </w:tblPrEx>
        <w:trPr>
          <w:trHeight w:val="283" w:hRule="atLeast"/>
          <w:jc w:val="center"/>
        </w:trPr>
        <w:tc>
          <w:tcPr>
            <w:tcW w:w="5000" w:type="pct"/>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第二十条第（六）项</w:t>
            </w:r>
          </w:p>
        </w:tc>
      </w:tr>
      <w:tr>
        <w:tblPrEx>
          <w:tblCellMar>
            <w:top w:w="0" w:type="dxa"/>
            <w:left w:w="0" w:type="dxa"/>
            <w:bottom w:w="0" w:type="dxa"/>
            <w:right w:w="0" w:type="dxa"/>
          </w:tblCellMar>
        </w:tblPrEx>
        <w:trPr>
          <w:trHeight w:val="511"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信息内容</w:t>
            </w:r>
          </w:p>
        </w:tc>
        <w:tc>
          <w:tcPr>
            <w:tcW w:w="3091" w:type="pct"/>
            <w:gridSpan w:val="3"/>
            <w:tcBorders>
              <w:top w:val="single" w:color="auto" w:sz="8" w:space="0"/>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本年处理决定数量</w:t>
            </w:r>
          </w:p>
        </w:tc>
      </w:tr>
      <w:tr>
        <w:tblPrEx>
          <w:tblCellMar>
            <w:top w:w="0" w:type="dxa"/>
            <w:left w:w="0" w:type="dxa"/>
            <w:bottom w:w="0" w:type="dxa"/>
            <w:right w:w="0" w:type="dxa"/>
          </w:tblCellMar>
        </w:tblPrEx>
        <w:trPr>
          <w:trHeight w:val="335"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left"/>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行政处罚</w:t>
            </w:r>
          </w:p>
        </w:tc>
        <w:tc>
          <w:tcPr>
            <w:tcW w:w="3091" w:type="pct"/>
            <w:gridSpan w:val="3"/>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r>
      <w:tr>
        <w:tblPrEx>
          <w:tblCellMar>
            <w:top w:w="0" w:type="dxa"/>
            <w:left w:w="0" w:type="dxa"/>
            <w:bottom w:w="0" w:type="dxa"/>
            <w:right w:w="0" w:type="dxa"/>
          </w:tblCellMar>
        </w:tblPrEx>
        <w:trPr>
          <w:trHeight w:val="314"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left"/>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行政强制</w:t>
            </w:r>
          </w:p>
        </w:tc>
        <w:tc>
          <w:tcPr>
            <w:tcW w:w="3091" w:type="pct"/>
            <w:gridSpan w:val="3"/>
            <w:tcBorders>
              <w:top w:val="nil"/>
              <w:left w:val="nil"/>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0</w:t>
            </w:r>
          </w:p>
        </w:tc>
      </w:tr>
      <w:tr>
        <w:tblPrEx>
          <w:tblCellMar>
            <w:top w:w="0" w:type="dxa"/>
            <w:left w:w="0" w:type="dxa"/>
            <w:bottom w:w="0" w:type="dxa"/>
            <w:right w:w="0" w:type="dxa"/>
          </w:tblCellMar>
        </w:tblPrEx>
        <w:trPr>
          <w:trHeight w:val="392" w:hRule="atLeast"/>
          <w:jc w:val="center"/>
        </w:trPr>
        <w:tc>
          <w:tcPr>
            <w:tcW w:w="5000" w:type="pct"/>
            <w:gridSpan w:val="4"/>
            <w:tcBorders>
              <w:top w:val="nil"/>
              <w:left w:val="single" w:color="auto" w:sz="8" w:space="0"/>
              <w:bottom w:val="single" w:color="auto" w:sz="8" w:space="0"/>
              <w:right w:val="single" w:color="auto" w:sz="8" w:space="0"/>
            </w:tcBorders>
            <w:shd w:val="clear" w:color="auto" w:fill="C6D9F1"/>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第二十条第（八）项</w:t>
            </w:r>
          </w:p>
        </w:tc>
      </w:tr>
      <w:tr>
        <w:tblPrEx>
          <w:tblCellMar>
            <w:top w:w="0" w:type="dxa"/>
            <w:left w:w="0" w:type="dxa"/>
            <w:bottom w:w="0" w:type="dxa"/>
            <w:right w:w="0" w:type="dxa"/>
          </w:tblCellMar>
        </w:tblPrEx>
        <w:trPr>
          <w:trHeight w:val="270"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信息内容</w:t>
            </w:r>
          </w:p>
        </w:tc>
        <w:tc>
          <w:tcPr>
            <w:tcW w:w="3091" w:type="pct"/>
            <w:gridSpan w:val="3"/>
            <w:tcBorders>
              <w:top w:val="nil"/>
              <w:left w:val="nil"/>
              <w:bottom w:val="single" w:color="auto" w:sz="8" w:space="0"/>
              <w:right w:val="single" w:color="000000"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default" w:ascii="楷体" w:hAnsi="楷体" w:eastAsia="楷体" w:cs="楷体"/>
                <w:kern w:val="0"/>
                <w:sz w:val="24"/>
                <w:szCs w:val="24"/>
                <w:lang w:val="en-US" w:eastAsia="zh-CN"/>
              </w:rPr>
            </w:pPr>
            <w:r>
              <w:rPr>
                <w:rFonts w:hint="eastAsia" w:ascii="楷体" w:hAnsi="楷体" w:eastAsia="楷体" w:cs="楷体"/>
                <w:color w:val="000000"/>
                <w:kern w:val="0"/>
                <w:sz w:val="20"/>
                <w:szCs w:val="20"/>
                <w:lang w:val="en-US" w:eastAsia="zh-CN"/>
              </w:rPr>
              <w:t>本年收费金额（单位：万元）</w:t>
            </w:r>
          </w:p>
        </w:tc>
      </w:tr>
      <w:tr>
        <w:tblPrEx>
          <w:tblCellMar>
            <w:top w:w="0" w:type="dxa"/>
            <w:left w:w="0" w:type="dxa"/>
            <w:bottom w:w="0" w:type="dxa"/>
            <w:right w:w="0" w:type="dxa"/>
          </w:tblCellMar>
        </w:tblPrEx>
        <w:trPr>
          <w:trHeight w:val="319" w:hRule="atLeast"/>
          <w:jc w:val="center"/>
        </w:trPr>
        <w:tc>
          <w:tcPr>
            <w:tcW w:w="1908" w:type="pct"/>
            <w:tcBorders>
              <w:top w:val="nil"/>
              <w:left w:val="single" w:color="auto" w:sz="8" w:space="0"/>
              <w:bottom w:val="single" w:color="auto" w:sz="8" w:space="0"/>
              <w:right w:val="single" w:color="auto"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left"/>
              <w:textAlignment w:val="auto"/>
              <w:rPr>
                <w:rFonts w:hint="eastAsia" w:ascii="楷体" w:hAnsi="楷体" w:eastAsia="楷体" w:cs="楷体"/>
                <w:kern w:val="0"/>
                <w:sz w:val="24"/>
                <w:szCs w:val="24"/>
              </w:rPr>
            </w:pPr>
            <w:r>
              <w:rPr>
                <w:rFonts w:hint="eastAsia" w:ascii="楷体" w:hAnsi="楷体" w:eastAsia="楷体" w:cs="楷体"/>
                <w:color w:val="000000"/>
                <w:kern w:val="0"/>
                <w:sz w:val="20"/>
                <w:szCs w:val="20"/>
              </w:rPr>
              <w:t>行政事业性收费</w:t>
            </w:r>
          </w:p>
        </w:tc>
        <w:tc>
          <w:tcPr>
            <w:tcW w:w="3091" w:type="pct"/>
            <w:gridSpan w:val="3"/>
            <w:tcBorders>
              <w:top w:val="nil"/>
              <w:left w:val="nil"/>
              <w:bottom w:val="single" w:color="auto" w:sz="8" w:space="0"/>
              <w:right w:val="single" w:color="000000" w:sz="8" w:space="0"/>
            </w:tcBorders>
            <w:noWrap/>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240" w:lineRule="atLeast"/>
              <w:jc w:val="center"/>
              <w:textAlignment w:val="auto"/>
              <w:rPr>
                <w:rFonts w:hint="eastAsia" w:ascii="楷体" w:hAnsi="楷体" w:eastAsia="楷体" w:cs="楷体"/>
                <w:color w:val="000000"/>
                <w:kern w:val="0"/>
                <w:sz w:val="20"/>
                <w:szCs w:val="20"/>
                <w:lang w:val="en-US" w:eastAsia="zh-CN"/>
              </w:rPr>
            </w:pPr>
            <w:r>
              <w:rPr>
                <w:rFonts w:hint="eastAsia" w:ascii="楷体" w:hAnsi="楷体" w:eastAsia="楷体" w:cs="楷体"/>
                <w:color w:val="000000"/>
                <w:kern w:val="0"/>
                <w:sz w:val="20"/>
                <w:szCs w:val="20"/>
                <w:lang w:val="en-US" w:eastAsia="zh-CN"/>
              </w:rPr>
              <w:t>0</w:t>
            </w:r>
          </w:p>
        </w:tc>
      </w:tr>
    </w:tbl>
    <w:p>
      <w:pPr>
        <w:keepNext w:val="0"/>
        <w:keepLines w:val="0"/>
        <w:pageBreakBefore w:val="0"/>
        <w:widowControl/>
        <w:numPr>
          <w:ilvl w:val="0"/>
          <w:numId w:val="0"/>
        </w:numPr>
        <w:kinsoku/>
        <w:wordWrap/>
        <w:overflowPunct/>
        <w:topLinePunct w:val="0"/>
        <w:autoSpaceDE/>
        <w:autoSpaceDN/>
        <w:bidi w:val="0"/>
        <w:adjustRightInd/>
        <w:snapToGrid/>
        <w:ind w:firstLine="640" w:firstLineChars="200"/>
        <w:jc w:val="left"/>
        <w:textAlignment w:val="auto"/>
        <w:rPr>
          <w:rFonts w:hint="default" w:ascii="Times New Roman" w:hAnsi="Times New Roman" w:eastAsia="黑体" w:cs="Times New Roman"/>
          <w:color w:val="000000"/>
          <w:kern w:val="0"/>
          <w:sz w:val="32"/>
          <w:szCs w:val="32"/>
        </w:rPr>
      </w:pPr>
      <w:r>
        <w:rPr>
          <w:rFonts w:hint="eastAsia" w:ascii="Times New Roman" w:hAnsi="Times New Roman" w:eastAsia="黑体" w:cs="Times New Roman"/>
          <w:color w:val="000000"/>
          <w:kern w:val="0"/>
          <w:sz w:val="32"/>
          <w:szCs w:val="32"/>
          <w:lang w:val="en-US" w:eastAsia="zh-CN"/>
        </w:rPr>
        <w:t>三、</w:t>
      </w:r>
      <w:r>
        <w:rPr>
          <w:rFonts w:hint="default" w:ascii="Times New Roman" w:hAnsi="Times New Roman" w:eastAsia="黑体" w:cs="Times New Roman"/>
          <w:color w:val="000000"/>
          <w:kern w:val="0"/>
          <w:sz w:val="32"/>
          <w:szCs w:val="32"/>
        </w:rPr>
        <w:t>收到和处理政府信息公开申请情况</w:t>
      </w:r>
    </w:p>
    <w:tbl>
      <w:tblPr>
        <w:tblStyle w:val="5"/>
        <w:tblW w:w="9135" w:type="dxa"/>
        <w:jc w:val="center"/>
        <w:tblLayout w:type="autofit"/>
        <w:tblCellMar>
          <w:top w:w="0" w:type="dxa"/>
          <w:left w:w="0" w:type="dxa"/>
          <w:bottom w:w="0" w:type="dxa"/>
          <w:right w:w="0" w:type="dxa"/>
        </w:tblCellMar>
      </w:tblPr>
      <w:tblGrid>
        <w:gridCol w:w="622"/>
        <w:gridCol w:w="822"/>
        <w:gridCol w:w="2261"/>
        <w:gridCol w:w="727"/>
        <w:gridCol w:w="756"/>
        <w:gridCol w:w="756"/>
        <w:gridCol w:w="881"/>
        <w:gridCol w:w="903"/>
        <w:gridCol w:w="712"/>
        <w:gridCol w:w="695"/>
      </w:tblGrid>
      <w:tr>
        <w:tblPrEx>
          <w:tblCellMar>
            <w:top w:w="0" w:type="dxa"/>
            <w:left w:w="0" w:type="dxa"/>
            <w:bottom w:w="0" w:type="dxa"/>
            <w:right w:w="0" w:type="dxa"/>
          </w:tblCellMar>
        </w:tblPrEx>
        <w:trPr>
          <w:trHeight w:val="346" w:hRule="atLeast"/>
          <w:jc w:val="center"/>
        </w:trPr>
        <w:tc>
          <w:tcPr>
            <w:tcW w:w="3705" w:type="dxa"/>
            <w:gridSpan w:val="3"/>
            <w:vMerge w:val="restart"/>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（本列数据的勾稽关系为：第一项加第二项之和，等于第三项加第四项之和）</w:t>
            </w:r>
          </w:p>
        </w:tc>
        <w:tc>
          <w:tcPr>
            <w:tcW w:w="5430" w:type="dxa"/>
            <w:gridSpan w:val="7"/>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申请人情况</w:t>
            </w:r>
          </w:p>
        </w:tc>
      </w:tr>
      <w:tr>
        <w:tblPrEx>
          <w:tblCellMar>
            <w:top w:w="0" w:type="dxa"/>
            <w:left w:w="0" w:type="dxa"/>
            <w:bottom w:w="0" w:type="dxa"/>
            <w:right w:w="0" w:type="dxa"/>
          </w:tblCellMar>
        </w:tblPrEx>
        <w:trPr>
          <w:trHeight w:val="363" w:hRule="atLeast"/>
          <w:jc w:val="center"/>
        </w:trPr>
        <w:tc>
          <w:tcPr>
            <w:tcW w:w="3705"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727"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自然人</w:t>
            </w:r>
          </w:p>
        </w:tc>
        <w:tc>
          <w:tcPr>
            <w:tcW w:w="4008"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法人或其他组织</w:t>
            </w:r>
          </w:p>
        </w:tc>
        <w:tc>
          <w:tcPr>
            <w:tcW w:w="695"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总计</w:t>
            </w:r>
          </w:p>
        </w:tc>
      </w:tr>
      <w:tr>
        <w:tblPrEx>
          <w:tblCellMar>
            <w:top w:w="0" w:type="dxa"/>
            <w:left w:w="0" w:type="dxa"/>
            <w:bottom w:w="0" w:type="dxa"/>
            <w:right w:w="0" w:type="dxa"/>
          </w:tblCellMar>
        </w:tblPrEx>
        <w:trPr>
          <w:trHeight w:val="695" w:hRule="atLeast"/>
          <w:jc w:val="center"/>
        </w:trPr>
        <w:tc>
          <w:tcPr>
            <w:tcW w:w="3705" w:type="dxa"/>
            <w:gridSpan w:val="3"/>
            <w:vMerge w:val="continue"/>
            <w:tcBorders>
              <w:top w:val="single" w:color="auto" w:sz="8" w:space="0"/>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727"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商业企业</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科研机构</w:t>
            </w:r>
          </w:p>
        </w:tc>
        <w:tc>
          <w:tcPr>
            <w:tcW w:w="881"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社会公益组织</w:t>
            </w:r>
          </w:p>
        </w:tc>
        <w:tc>
          <w:tcPr>
            <w:tcW w:w="903"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法律服务机构</w:t>
            </w:r>
          </w:p>
        </w:tc>
        <w:tc>
          <w:tcPr>
            <w:tcW w:w="712"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其他</w:t>
            </w: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r>
      <w:tr>
        <w:tblPrEx>
          <w:tblCellMar>
            <w:top w:w="0" w:type="dxa"/>
            <w:left w:w="0" w:type="dxa"/>
            <w:bottom w:w="0" w:type="dxa"/>
            <w:right w:w="0" w:type="dxa"/>
          </w:tblCellMar>
        </w:tblPrEx>
        <w:trPr>
          <w:trHeight w:val="346" w:hRule="atLeast"/>
          <w:jc w:val="center"/>
        </w:trPr>
        <w:tc>
          <w:tcPr>
            <w:tcW w:w="3705"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一、本年新收政府信息公开申请数量</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eastAsia"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eastAsia"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3705"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二、上年结转政府信息公开申请数量</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三、本年度办理结果</w:t>
            </w:r>
          </w:p>
        </w:tc>
        <w:tc>
          <w:tcPr>
            <w:tcW w:w="3083"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（一）予以公开</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3083"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（二）部分公开（区分处理的，只计这一情形，不计其他情形）</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（三）不予公开</w:t>
            </w: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1.属于国家秘密</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2.其他法律行政法规禁止公开</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3.危及“三安全一稳定”</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4.保护第三方合法权益</w:t>
            </w:r>
          </w:p>
        </w:tc>
        <w:tc>
          <w:tcPr>
            <w:tcW w:w="727"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5.属于三类内部事务信息</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6.属于四类过程性信息</w:t>
            </w:r>
          </w:p>
        </w:tc>
        <w:tc>
          <w:tcPr>
            <w:tcW w:w="727"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7.属于行政执法案卷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8.属于行政查询事项</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（四）无法提供</w:t>
            </w: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1.本机关不掌握相关政府信息</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eastAsia"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eastAsia"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2.没有现成信息需要另行制作</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3.补正后申请内容仍不明确</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46"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（五）不予处理</w:t>
            </w: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1.信访举报投诉类申请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2.重复申请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3.要求提供公开出版物</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710"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4.无正当理由大量反复申请</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695"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226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5.要求行政机关确认或重新出具已获取信息</w:t>
            </w:r>
          </w:p>
        </w:tc>
        <w:tc>
          <w:tcPr>
            <w:tcW w:w="727"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56"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881"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903"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712"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c>
          <w:tcPr>
            <w:tcW w:w="695" w:type="dxa"/>
            <w:tcBorders>
              <w:top w:val="nil"/>
              <w:left w:val="nil"/>
              <w:bottom w:val="single" w:color="auto" w:sz="4"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bidi="ar-SA"/>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121"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822" w:type="dxa"/>
            <w:vMerge w:val="restart"/>
            <w:tcBorders>
              <w:top w:val="nil"/>
              <w:left w:val="nil"/>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（六）其他处理</w:t>
            </w:r>
          </w:p>
        </w:tc>
        <w:tc>
          <w:tcPr>
            <w:tcW w:w="2261" w:type="dxa"/>
            <w:tcBorders>
              <w:top w:val="nil"/>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1.申请人无正当理由逾期不补正、行政机关不再处理其政府信息公开申请</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121"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pPr>
          </w:p>
        </w:tc>
        <w:tc>
          <w:tcPr>
            <w:tcW w:w="822" w:type="dxa"/>
            <w:vMerge w:val="continue"/>
            <w:tcBorders>
              <w:left w:val="nil"/>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pPr>
          </w:p>
        </w:tc>
        <w:tc>
          <w:tcPr>
            <w:tcW w:w="2261" w:type="dxa"/>
            <w:tcBorders>
              <w:top w:val="nil"/>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2.申请人逾期未按收费通知要求缴纳费用、行政机关不再处理其政府信息公开申请</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121" w:hRule="atLeast"/>
          <w:jc w:val="center"/>
        </w:trPr>
        <w:tc>
          <w:tcPr>
            <w:tcW w:w="622" w:type="dxa"/>
            <w:vMerge w:val="continue"/>
            <w:tcBorders>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0"/>
                <w:szCs w:val="20"/>
              </w:rPr>
            </w:pPr>
          </w:p>
        </w:tc>
        <w:tc>
          <w:tcPr>
            <w:tcW w:w="822" w:type="dxa"/>
            <w:vMerge w:val="continue"/>
            <w:tcBorders>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0"/>
                <w:szCs w:val="20"/>
              </w:rPr>
            </w:pPr>
          </w:p>
        </w:tc>
        <w:tc>
          <w:tcPr>
            <w:tcW w:w="2261" w:type="dxa"/>
            <w:tcBorders>
              <w:top w:val="nil"/>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3.其他</w:t>
            </w:r>
          </w:p>
        </w:tc>
        <w:tc>
          <w:tcPr>
            <w:tcW w:w="72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75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88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90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71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c>
          <w:tcPr>
            <w:tcW w:w="695"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eastAsia" w:ascii="Times New Roman" w:hAnsi="Times New Roman" w:eastAsia="楷体" w:cs="Times New Roman"/>
                <w:kern w:val="0"/>
                <w:sz w:val="20"/>
                <w:szCs w:val="20"/>
                <w:lang w:val="en-US" w:eastAsia="zh-CN"/>
              </w:rPr>
            </w:pPr>
            <w:r>
              <w:rPr>
                <w:rFonts w:hint="eastAsia"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363" w:hRule="atLeast"/>
          <w:jc w:val="center"/>
        </w:trPr>
        <w:tc>
          <w:tcPr>
            <w:tcW w:w="622" w:type="dxa"/>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3083" w:type="dxa"/>
            <w:gridSpan w:val="2"/>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（七）总计</w:t>
            </w:r>
          </w:p>
        </w:tc>
        <w:tc>
          <w:tcPr>
            <w:tcW w:w="727"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eastAsia"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756"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881"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903"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0"/>
                <w:szCs w:val="20"/>
                <w:lang w:val="en-US" w:eastAsia="zh-CN"/>
              </w:rPr>
              <w:t>0</w:t>
            </w:r>
          </w:p>
        </w:tc>
        <w:tc>
          <w:tcPr>
            <w:tcW w:w="712"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lang w:val="en-US" w:eastAsia="zh-CN"/>
              </w:rPr>
              <w:t>0</w:t>
            </w:r>
          </w:p>
        </w:tc>
        <w:tc>
          <w:tcPr>
            <w:tcW w:w="695" w:type="dxa"/>
            <w:tcBorders>
              <w:top w:val="single" w:color="auto" w:sz="4"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eastAsia" w:ascii="Times New Roman" w:hAnsi="Times New Roman" w:eastAsia="楷体" w:cs="Times New Roman"/>
                <w:kern w:val="0"/>
                <w:sz w:val="20"/>
                <w:szCs w:val="20"/>
                <w:lang w:val="en-US" w:eastAsia="zh-CN"/>
              </w:rPr>
              <w:t>0</w:t>
            </w:r>
          </w:p>
        </w:tc>
      </w:tr>
      <w:tr>
        <w:tblPrEx>
          <w:tblCellMar>
            <w:top w:w="0" w:type="dxa"/>
            <w:left w:w="0" w:type="dxa"/>
            <w:bottom w:w="0" w:type="dxa"/>
            <w:right w:w="0" w:type="dxa"/>
          </w:tblCellMar>
        </w:tblPrEx>
        <w:trPr>
          <w:trHeight w:val="485" w:hRule="atLeast"/>
          <w:jc w:val="center"/>
        </w:trPr>
        <w:tc>
          <w:tcPr>
            <w:tcW w:w="3705" w:type="dxa"/>
            <w:gridSpan w:val="3"/>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color w:val="000000"/>
                <w:kern w:val="0"/>
                <w:sz w:val="20"/>
                <w:szCs w:val="20"/>
              </w:rPr>
            </w:pPr>
            <w:r>
              <w:rPr>
                <w:rFonts w:hint="default" w:ascii="Times New Roman" w:hAnsi="Times New Roman" w:eastAsia="楷体" w:cs="Times New Roman"/>
                <w:color w:val="000000"/>
                <w:kern w:val="0"/>
                <w:sz w:val="20"/>
                <w:szCs w:val="20"/>
              </w:rPr>
              <w:t>四、结转下年度继续办理</w:t>
            </w:r>
          </w:p>
        </w:tc>
        <w:tc>
          <w:tcPr>
            <w:tcW w:w="727"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75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881"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903"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712"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c>
          <w:tcPr>
            <w:tcW w:w="69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color w:val="000000"/>
                <w:kern w:val="0"/>
                <w:sz w:val="20"/>
                <w:szCs w:val="20"/>
                <w:lang w:val="en-US" w:eastAsia="zh-CN"/>
              </w:rPr>
            </w:pPr>
            <w:r>
              <w:rPr>
                <w:rFonts w:hint="default" w:ascii="Times New Roman" w:hAnsi="Times New Roman" w:eastAsia="楷体" w:cs="Times New Roman"/>
                <w:color w:val="000000"/>
                <w:kern w:val="0"/>
                <w:sz w:val="20"/>
                <w:szCs w:val="20"/>
                <w:lang w:val="en-US" w:eastAsia="zh-CN"/>
              </w:rPr>
              <w:t>0</w:t>
            </w:r>
          </w:p>
        </w:tc>
      </w:tr>
    </w:tbl>
    <w:p>
      <w:pPr>
        <w:keepNext w:val="0"/>
        <w:keepLines w:val="0"/>
        <w:pageBreakBefore w:val="0"/>
        <w:widowControl/>
        <w:numPr>
          <w:ilvl w:val="0"/>
          <w:numId w:val="0"/>
        </w:numPr>
        <w:kinsoku/>
        <w:wordWrap/>
        <w:overflowPunct/>
        <w:topLinePunct w:val="0"/>
        <w:autoSpaceDE/>
        <w:autoSpaceDN/>
        <w:bidi w:val="0"/>
        <w:adjustRightInd/>
        <w:snapToGrid/>
        <w:ind w:leftChars="0" w:firstLine="640" w:firstLineChars="200"/>
        <w:jc w:val="left"/>
        <w:textAlignment w:val="auto"/>
        <w:rPr>
          <w:rFonts w:hint="eastAsia" w:ascii="Times New Roman" w:hAnsi="Times New Roman" w:eastAsia="黑体" w:cs="Times New Roman"/>
          <w:color w:val="000000"/>
          <w:kern w:val="0"/>
          <w:sz w:val="32"/>
          <w:szCs w:val="32"/>
          <w:lang w:val="en-US" w:eastAsia="zh-CN"/>
        </w:rPr>
      </w:pPr>
    </w:p>
    <w:p>
      <w:pPr>
        <w:keepNext w:val="0"/>
        <w:keepLines w:val="0"/>
        <w:pageBreakBefore w:val="0"/>
        <w:widowControl/>
        <w:numPr>
          <w:ilvl w:val="0"/>
          <w:numId w:val="0"/>
        </w:numPr>
        <w:kinsoku/>
        <w:wordWrap/>
        <w:overflowPunct/>
        <w:topLinePunct w:val="0"/>
        <w:autoSpaceDE/>
        <w:autoSpaceDN/>
        <w:bidi w:val="0"/>
        <w:adjustRightInd/>
        <w:snapToGrid/>
        <w:ind w:leftChars="0" w:firstLine="640" w:firstLineChars="200"/>
        <w:jc w:val="left"/>
        <w:textAlignment w:val="auto"/>
        <w:rPr>
          <w:rFonts w:hint="default" w:ascii="Times New Roman" w:hAnsi="Times New Roman" w:eastAsia="黑体" w:cs="Times New Roman"/>
          <w:color w:val="000000"/>
          <w:kern w:val="0"/>
          <w:sz w:val="32"/>
          <w:szCs w:val="32"/>
        </w:rPr>
      </w:pPr>
      <w:r>
        <w:rPr>
          <w:rFonts w:hint="eastAsia" w:ascii="Times New Roman" w:hAnsi="Times New Roman" w:eastAsia="黑体" w:cs="Times New Roman"/>
          <w:color w:val="000000"/>
          <w:kern w:val="0"/>
          <w:sz w:val="32"/>
          <w:szCs w:val="32"/>
          <w:lang w:val="en-US" w:eastAsia="zh-CN"/>
        </w:rPr>
        <w:t>四、</w:t>
      </w:r>
      <w:r>
        <w:rPr>
          <w:rFonts w:hint="default" w:ascii="Times New Roman" w:hAnsi="Times New Roman" w:eastAsia="黑体" w:cs="Times New Roman"/>
          <w:color w:val="000000"/>
          <w:kern w:val="0"/>
          <w:sz w:val="32"/>
          <w:szCs w:val="32"/>
        </w:rPr>
        <w:t>政府信息公开行政复议、行政诉讼情况</w:t>
      </w:r>
    </w:p>
    <w:tbl>
      <w:tblPr>
        <w:tblStyle w:val="5"/>
        <w:tblW w:w="9071" w:type="dxa"/>
        <w:jc w:val="center"/>
        <w:tblLayout w:type="autofit"/>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CellMar>
            <w:top w:w="0" w:type="dxa"/>
            <w:left w:w="0" w:type="dxa"/>
            <w:bottom w:w="0" w:type="dxa"/>
            <w:right w:w="0" w:type="dxa"/>
          </w:tblCellMar>
        </w:tblPrEx>
        <w:trPr>
          <w:jc w:val="center"/>
        </w:trPr>
        <w:tc>
          <w:tcPr>
            <w:tcW w:w="3074" w:type="dxa"/>
            <w:gridSpan w:val="5"/>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行政复议</w:t>
            </w:r>
          </w:p>
        </w:tc>
        <w:tc>
          <w:tcPr>
            <w:tcW w:w="5997" w:type="dxa"/>
            <w:gridSpan w:val="10"/>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行政诉讼</w:t>
            </w:r>
          </w:p>
        </w:tc>
      </w:tr>
      <w:tr>
        <w:tblPrEx>
          <w:tblCellMar>
            <w:top w:w="0" w:type="dxa"/>
            <w:left w:w="0" w:type="dxa"/>
            <w:bottom w:w="0" w:type="dxa"/>
            <w:right w:w="0" w:type="dxa"/>
          </w:tblCellMar>
        </w:tblPrEx>
        <w:trPr>
          <w:jc w:val="center"/>
        </w:trPr>
        <w:tc>
          <w:tcPr>
            <w:tcW w:w="604" w:type="dxa"/>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结果维持</w:t>
            </w:r>
          </w:p>
        </w:tc>
        <w:tc>
          <w:tcPr>
            <w:tcW w:w="604" w:type="dxa"/>
            <w:vMerge w:val="restart"/>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尚未审结</w:t>
            </w:r>
          </w:p>
        </w:tc>
        <w:tc>
          <w:tcPr>
            <w:tcW w:w="658" w:type="dxa"/>
            <w:vMerge w:val="restart"/>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总计</w:t>
            </w:r>
          </w:p>
        </w:tc>
        <w:tc>
          <w:tcPr>
            <w:tcW w:w="2970"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复议后起诉</w:t>
            </w:r>
          </w:p>
        </w:tc>
      </w:tr>
      <w:tr>
        <w:tblPrEx>
          <w:tblCellMar>
            <w:top w:w="0" w:type="dxa"/>
            <w:left w:w="0" w:type="dxa"/>
            <w:bottom w:w="0" w:type="dxa"/>
            <w:right w:w="0" w:type="dxa"/>
          </w:tblCellMar>
        </w:tblPrEx>
        <w:trPr>
          <w:trHeight w:val="936"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0" w:type="auto"/>
            <w:vMerge w:val="continue"/>
            <w:tcBorders>
              <w:top w:val="nil"/>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0" w:type="auto"/>
            <w:vMerge w:val="continue"/>
            <w:tcBorders>
              <w:top w:val="single" w:color="auto" w:sz="8" w:space="0"/>
              <w:left w:val="nil"/>
              <w:bottom w:val="single" w:color="auto" w:sz="8" w:space="0"/>
              <w:right w:val="single" w:color="auto" w:sz="8"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default" w:ascii="Times New Roman" w:hAnsi="Times New Roman" w:eastAsia="楷体" w:cs="Times New Roman"/>
                <w:kern w:val="0"/>
                <w:sz w:val="24"/>
                <w:szCs w:val="24"/>
              </w:rPr>
            </w:pP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结果维持</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其他结果</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尚未审结</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总计</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结果维持</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结果纠正</w:t>
            </w:r>
          </w:p>
        </w:tc>
        <w:tc>
          <w:tcPr>
            <w:tcW w:w="605"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其他结果</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kern w:val="0"/>
                <w:sz w:val="20"/>
                <w:szCs w:val="20"/>
              </w:rPr>
              <w:t>尚未审结</w:t>
            </w:r>
          </w:p>
        </w:tc>
        <w:tc>
          <w:tcPr>
            <w:tcW w:w="606"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rPr>
            </w:pPr>
            <w:r>
              <w:rPr>
                <w:rFonts w:hint="default" w:ascii="Times New Roman" w:hAnsi="Times New Roman" w:eastAsia="楷体" w:cs="Times New Roman"/>
                <w:color w:val="000000"/>
                <w:kern w:val="0"/>
                <w:sz w:val="20"/>
                <w:szCs w:val="20"/>
              </w:rPr>
              <w:t>总计</w:t>
            </w:r>
          </w:p>
        </w:tc>
      </w:tr>
      <w:tr>
        <w:tblPrEx>
          <w:tblCellMar>
            <w:top w:w="0" w:type="dxa"/>
            <w:left w:w="0" w:type="dxa"/>
            <w:bottom w:w="0" w:type="dxa"/>
            <w:right w:w="0" w:type="dxa"/>
          </w:tblCellMar>
        </w:tblPrEx>
        <w:trPr>
          <w:trHeight w:val="942" w:hRule="atLeast"/>
          <w:jc w:val="center"/>
        </w:trPr>
        <w:tc>
          <w:tcPr>
            <w:tcW w:w="604"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4"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58"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550"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5"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c>
          <w:tcPr>
            <w:tcW w:w="606" w:type="dxa"/>
            <w:tcBorders>
              <w:top w:val="nil"/>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jc w:val="center"/>
              <w:textAlignment w:val="auto"/>
              <w:rPr>
                <w:rFonts w:hint="default" w:ascii="Times New Roman" w:hAnsi="Times New Roman" w:eastAsia="楷体" w:cs="Times New Roman"/>
                <w:kern w:val="0"/>
                <w:sz w:val="24"/>
                <w:szCs w:val="24"/>
                <w:lang w:val="en-US" w:eastAsia="zh-CN"/>
              </w:rPr>
            </w:pPr>
            <w:r>
              <w:rPr>
                <w:rFonts w:hint="default" w:ascii="Times New Roman" w:hAnsi="Times New Roman" w:eastAsia="楷体" w:cs="Times New Roman"/>
                <w:kern w:val="0"/>
                <w:sz w:val="24"/>
                <w:szCs w:val="24"/>
                <w:lang w:val="en-US" w:eastAsia="zh-CN"/>
              </w:rPr>
              <w:t>0</w:t>
            </w:r>
          </w:p>
        </w:tc>
      </w:tr>
    </w:tbl>
    <w:p>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hint="default" w:ascii="Times New Roman" w:hAnsi="Times New Roman" w:eastAsia="黑体" w:cs="Times New Roman"/>
          <w:color w:val="000000"/>
          <w:kern w:val="0"/>
          <w:sz w:val="32"/>
          <w:szCs w:val="32"/>
        </w:rPr>
      </w:pPr>
      <w:r>
        <w:rPr>
          <w:rFonts w:hint="default" w:ascii="Times New Roman" w:hAnsi="Times New Roman" w:eastAsia="黑体" w:cs="Times New Roman"/>
          <w:color w:val="000000"/>
          <w:kern w:val="0"/>
          <w:sz w:val="32"/>
          <w:szCs w:val="32"/>
        </w:rPr>
        <w:t>五、存在的主要问题及改进情况</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eastAsia" w:ascii="楷体_GB2312" w:hAnsi="楷体_GB2312" w:eastAsia="楷体_GB2312" w:cs="楷体_GB2312"/>
          <w:color w:val="000000"/>
          <w:kern w:val="0"/>
          <w:sz w:val="32"/>
          <w:szCs w:val="32"/>
          <w:lang w:val="en-US" w:eastAsia="zh-CN"/>
        </w:rPr>
      </w:pPr>
      <w:r>
        <w:rPr>
          <w:rFonts w:hint="eastAsia" w:ascii="楷体_GB2312" w:hAnsi="楷体_GB2312" w:eastAsia="楷体_GB2312" w:cs="楷体_GB2312"/>
          <w:color w:val="000000"/>
          <w:kern w:val="0"/>
          <w:sz w:val="32"/>
          <w:szCs w:val="32"/>
          <w:lang w:val="en-US" w:eastAsia="zh-CN"/>
        </w:rPr>
        <w:t>（一）存在问题</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1.队伍建设薄弱。负责政务公开的人员较少，缺乏对政务公开工作理论知识系统性学习，承担了政务公开之外的其他工作任务，只能“挤”时间开展工作，导致工作存在一定短板。</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2.公开内容单一。公开内容未实现全覆盖，内容单一，内容更新不及时，不能完全满足群众需要。</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eastAsia"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3.群众参与感弱。基层政务公开标准化规范化建设程度不足，宣传力度有待进一步加强，群众通过政务公开网了解政务信息的比例不高。</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eastAsia" w:ascii="楷体_GB2312" w:hAnsi="楷体_GB2312" w:eastAsia="楷体_GB2312" w:cs="楷体_GB2312"/>
          <w:color w:val="000000"/>
          <w:kern w:val="0"/>
          <w:sz w:val="32"/>
          <w:szCs w:val="32"/>
          <w:lang w:val="en-US" w:eastAsia="zh-CN"/>
        </w:rPr>
      </w:pPr>
      <w:r>
        <w:rPr>
          <w:rFonts w:hint="eastAsia" w:ascii="楷体_GB2312" w:hAnsi="楷体_GB2312" w:eastAsia="楷体_GB2312" w:cs="楷体_GB2312"/>
          <w:color w:val="000000"/>
          <w:kern w:val="0"/>
          <w:sz w:val="32"/>
          <w:szCs w:val="32"/>
          <w:lang w:val="en-US" w:eastAsia="zh-CN"/>
        </w:rPr>
        <w:t>（二）整改措施</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eastAsia"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1.提高认识，加强整改。进一步加强对政府信息公开工作重要性的认识，提高公开意识和工作创新能力，切实保证信息公开工作的</w:t>
      </w:r>
      <w:r>
        <w:rPr>
          <w:rFonts w:hint="default" w:ascii="Times New Roman" w:hAnsi="Times New Roman" w:eastAsia="仿宋_GB2312" w:cs="Times New Roman"/>
          <w:color w:val="000000"/>
          <w:kern w:val="0"/>
          <w:sz w:val="32"/>
          <w:szCs w:val="32"/>
          <w:lang w:val="en-US" w:eastAsia="zh-CN"/>
        </w:rPr>
        <w:t>全面性、时效性</w:t>
      </w:r>
      <w:r>
        <w:rPr>
          <w:rFonts w:hint="eastAsia" w:ascii="Times New Roman" w:hAnsi="Times New Roman" w:eastAsia="仿宋_GB2312" w:cs="Times New Roman"/>
          <w:color w:val="000000"/>
          <w:kern w:val="0"/>
          <w:sz w:val="32"/>
          <w:szCs w:val="32"/>
          <w:lang w:val="en-US" w:eastAsia="zh-CN"/>
        </w:rPr>
        <w:t>、规范性。</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2.健全机制，完善制度。进一步建立和完善政府信息公开工作制度，及时上报更新信息，重点做好行政执法公示、公共监管、公共企事业单位等领域信息的分类和报送，不断提高信息质量。</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eastAsia" w:ascii="Times New Roman" w:hAnsi="Times New Roman" w:eastAsia="仿宋_GB2312" w:cs="Times New Roman"/>
          <w:color w:val="000000"/>
          <w:kern w:val="0"/>
          <w:sz w:val="32"/>
          <w:szCs w:val="32"/>
          <w:lang w:val="en-US" w:eastAsia="zh-CN"/>
        </w:rPr>
        <w:t>3.建立政府信息公开长效机制。建立和完善政府信息公开内容审核和更新维护，考核评估，监督检查评议。不断总结工作经验教训，高质量完成年度工作任务。</w:t>
      </w:r>
    </w:p>
    <w:p>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黑体" w:cs="Times New Roman"/>
          <w:color w:val="000000"/>
          <w:kern w:val="0"/>
          <w:sz w:val="32"/>
          <w:szCs w:val="32"/>
        </w:rPr>
        <w:t>六、其他需要报告的事项</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1.收取信息处理费情况方面。本年度政府信息公开申请未达到《政府信息公开信息处理费管理办法》（国办函〔2020〕109号）所规定的信息处理费收费标准，故未收取信息处理费。</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2.落实上级年度政务公开工作要点情况。对照《</w:t>
      </w:r>
      <w:r>
        <w:rPr>
          <w:rFonts w:hint="eastAsia" w:ascii="Times New Roman" w:hAnsi="Times New Roman" w:eastAsia="仿宋_GB2312" w:cs="Times New Roman"/>
          <w:color w:val="000000"/>
          <w:kern w:val="0"/>
          <w:sz w:val="32"/>
          <w:szCs w:val="32"/>
          <w:lang w:val="en-US" w:eastAsia="zh-CN"/>
        </w:rPr>
        <w:t>枣庄市</w:t>
      </w:r>
      <w:r>
        <w:rPr>
          <w:rFonts w:hint="default" w:ascii="Times New Roman" w:hAnsi="Times New Roman" w:eastAsia="仿宋_GB2312" w:cs="Times New Roman"/>
          <w:color w:val="000000"/>
          <w:kern w:val="0"/>
          <w:sz w:val="32"/>
          <w:szCs w:val="32"/>
          <w:lang w:val="en-US" w:eastAsia="zh-CN"/>
        </w:rPr>
        <w:t>2022年政务公开政务公开工作要点》，围绕重点领域信息公开、政策发布解读与回应、政民互动、基层政务公开标准化规范化建设和工作保障和落实逐项明确责任主体和完成</w:t>
      </w:r>
      <w:r>
        <w:rPr>
          <w:rFonts w:hint="eastAsia" w:ascii="Times New Roman" w:hAnsi="Times New Roman" w:eastAsia="仿宋_GB2312" w:cs="Times New Roman"/>
          <w:color w:val="000000"/>
          <w:kern w:val="0"/>
          <w:sz w:val="32"/>
          <w:szCs w:val="32"/>
          <w:lang w:val="en-US" w:eastAsia="zh-CN"/>
        </w:rPr>
        <w:t>时</w:t>
      </w:r>
      <w:r>
        <w:rPr>
          <w:rFonts w:hint="default" w:ascii="Times New Roman" w:hAnsi="Times New Roman" w:eastAsia="仿宋_GB2312" w:cs="Times New Roman"/>
          <w:color w:val="000000"/>
          <w:kern w:val="0"/>
          <w:sz w:val="32"/>
          <w:szCs w:val="32"/>
          <w:lang w:val="en-US" w:eastAsia="zh-CN"/>
        </w:rPr>
        <w:t>限。</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3.人大代表建议和政协提案办理情况方面。202</w:t>
      </w:r>
      <w:r>
        <w:rPr>
          <w:rFonts w:hint="eastAsia" w:ascii="Times New Roman" w:hAnsi="Times New Roman" w:eastAsia="仿宋_GB2312" w:cs="Times New Roman"/>
          <w:color w:val="000000"/>
          <w:kern w:val="0"/>
          <w:sz w:val="32"/>
          <w:szCs w:val="32"/>
          <w:lang w:val="en-US" w:eastAsia="zh-CN"/>
        </w:rPr>
        <w:t>2</w:t>
      </w:r>
      <w:r>
        <w:rPr>
          <w:rFonts w:hint="default" w:ascii="Times New Roman" w:hAnsi="Times New Roman" w:eastAsia="仿宋_GB2312" w:cs="Times New Roman"/>
          <w:color w:val="000000"/>
          <w:kern w:val="0"/>
          <w:sz w:val="32"/>
          <w:szCs w:val="32"/>
          <w:lang w:val="en-US" w:eastAsia="zh-CN"/>
        </w:rPr>
        <w:t>年薛城区</w:t>
      </w:r>
      <w:r>
        <w:rPr>
          <w:rFonts w:hint="eastAsia" w:ascii="Times New Roman" w:hAnsi="Times New Roman" w:eastAsia="仿宋_GB2312" w:cs="Times New Roman"/>
          <w:color w:val="000000"/>
          <w:kern w:val="0"/>
          <w:sz w:val="32"/>
          <w:szCs w:val="32"/>
          <w:lang w:val="en-US" w:eastAsia="zh-CN"/>
        </w:rPr>
        <w:t>城乡水务</w:t>
      </w:r>
      <w:r>
        <w:rPr>
          <w:rFonts w:hint="default" w:ascii="Times New Roman" w:hAnsi="Times New Roman" w:eastAsia="仿宋_GB2312" w:cs="Times New Roman"/>
          <w:color w:val="000000"/>
          <w:kern w:val="0"/>
          <w:sz w:val="32"/>
          <w:szCs w:val="32"/>
          <w:lang w:val="en-US" w:eastAsia="zh-CN"/>
        </w:rPr>
        <w:t>局共承办区</w:t>
      </w:r>
      <w:r>
        <w:rPr>
          <w:rFonts w:hint="eastAsia" w:ascii="Times New Roman" w:hAnsi="Times New Roman" w:eastAsia="仿宋_GB2312" w:cs="Times New Roman"/>
          <w:color w:val="000000"/>
          <w:kern w:val="0"/>
          <w:sz w:val="32"/>
          <w:szCs w:val="32"/>
          <w:lang w:val="en-US" w:eastAsia="zh-CN"/>
        </w:rPr>
        <w:t>级</w:t>
      </w:r>
      <w:r>
        <w:rPr>
          <w:rFonts w:hint="default" w:ascii="Times New Roman" w:hAnsi="Times New Roman" w:eastAsia="仿宋_GB2312" w:cs="Times New Roman"/>
          <w:color w:val="000000"/>
          <w:kern w:val="0"/>
          <w:sz w:val="32"/>
          <w:szCs w:val="32"/>
          <w:lang w:val="en-US" w:eastAsia="zh-CN"/>
        </w:rPr>
        <w:t>人大代表建议</w:t>
      </w:r>
      <w:r>
        <w:rPr>
          <w:rFonts w:hint="eastAsia" w:ascii="Times New Roman" w:hAnsi="Times New Roman" w:eastAsia="仿宋_GB2312" w:cs="Times New Roman"/>
          <w:color w:val="000000"/>
          <w:kern w:val="0"/>
          <w:sz w:val="32"/>
          <w:szCs w:val="32"/>
          <w:lang w:val="en-US" w:eastAsia="zh-CN"/>
        </w:rPr>
        <w:t>12</w:t>
      </w:r>
      <w:r>
        <w:rPr>
          <w:rFonts w:hint="default" w:ascii="Times New Roman" w:hAnsi="Times New Roman" w:eastAsia="仿宋_GB2312" w:cs="Times New Roman"/>
          <w:color w:val="000000"/>
          <w:kern w:val="0"/>
          <w:sz w:val="32"/>
          <w:szCs w:val="32"/>
          <w:lang w:val="en-US" w:eastAsia="zh-CN"/>
        </w:rPr>
        <w:t>件</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内容涉及</w:t>
      </w:r>
      <w:r>
        <w:rPr>
          <w:rFonts w:hint="eastAsia" w:ascii="Times New Roman" w:hAnsi="Times New Roman" w:eastAsia="仿宋_GB2312" w:cs="Times New Roman"/>
          <w:color w:val="000000"/>
          <w:kern w:val="0"/>
          <w:sz w:val="32"/>
          <w:szCs w:val="32"/>
          <w:lang w:val="en-US" w:eastAsia="zh-CN"/>
        </w:rPr>
        <w:t>加快推进我区城乡供排水一体化、加大污水治理、关于西尚庄村清淤堵漏项目的建议等方面</w:t>
      </w:r>
      <w:r>
        <w:rPr>
          <w:rFonts w:hint="default" w:ascii="Times New Roman" w:hAnsi="Times New Roman" w:eastAsia="仿宋_GB2312" w:cs="Times New Roman"/>
          <w:color w:val="000000"/>
          <w:kern w:val="0"/>
          <w:sz w:val="32"/>
          <w:szCs w:val="32"/>
          <w:lang w:val="en-US" w:eastAsia="zh-CN"/>
        </w:rPr>
        <w:t>。所有建议已全部办理、答复完毕。</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4.开展政务公开创新方面</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sz w:val="32"/>
          <w:szCs w:val="32"/>
          <w:lang w:val="en-US" w:eastAsia="zh-CN"/>
        </w:rPr>
        <w:t>为进一步深化政务公开工作，在以政府网站作为公开主阵地的基础上，充分结合重点</w:t>
      </w:r>
      <w:r>
        <w:rPr>
          <w:rFonts w:hint="eastAsia" w:ascii="Times New Roman" w:hAnsi="Times New Roman" w:eastAsia="仿宋_GB2312" w:cs="Times New Roman"/>
          <w:sz w:val="32"/>
          <w:szCs w:val="32"/>
          <w:lang w:val="en-US" w:eastAsia="zh-CN"/>
        </w:rPr>
        <w:t>水务</w:t>
      </w:r>
      <w:r>
        <w:rPr>
          <w:rFonts w:hint="default" w:ascii="Times New Roman" w:hAnsi="Times New Roman" w:eastAsia="仿宋_GB2312" w:cs="Times New Roman"/>
          <w:sz w:val="32"/>
          <w:szCs w:val="32"/>
          <w:lang w:val="en-US" w:eastAsia="zh-CN"/>
        </w:rPr>
        <w:t>工程现场、教育基地、服务大厅和政务新媒体、手机APP等子阵地，打造“政务＋”信息公开新模式。</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5.本单位政府信息公开工作年度报告数据统计需要说明的事项：无</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6.其他有关文件专门要求通过政府信息公开工作年度报告予以报告的事项：无</w:t>
      </w:r>
    </w:p>
    <w:p>
      <w:pPr>
        <w:keepNext w:val="0"/>
        <w:keepLines w:val="0"/>
        <w:pageBreakBefore w:val="0"/>
        <w:widowControl/>
        <w:kinsoku/>
        <w:wordWrap/>
        <w:overflowPunct/>
        <w:topLinePunct w:val="0"/>
        <w:autoSpaceDE/>
        <w:autoSpaceDN/>
        <w:bidi w:val="0"/>
        <w:adjustRightInd/>
        <w:snapToGrid/>
        <w:ind w:firstLine="640" w:firstLineChars="200"/>
        <w:jc w:val="both"/>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7.本年度报告的电子版可以在“薛城区政府门户网站”（http://xxgk.xuecheng.gov.cn/xxgknb/2022xxgknb/)下载。如对本报告有疑问，可与</w:t>
      </w:r>
      <w:r>
        <w:rPr>
          <w:rFonts w:hint="eastAsia" w:ascii="Times New Roman" w:hAnsi="Times New Roman" w:eastAsia="仿宋_GB2312" w:cs="Times New Roman"/>
          <w:color w:val="000000"/>
          <w:kern w:val="0"/>
          <w:sz w:val="32"/>
          <w:szCs w:val="32"/>
          <w:lang w:val="en-US" w:eastAsia="zh-CN"/>
        </w:rPr>
        <w:t>薛城区城乡水务局</w:t>
      </w:r>
      <w:r>
        <w:rPr>
          <w:rFonts w:hint="default" w:ascii="Times New Roman" w:hAnsi="Times New Roman" w:eastAsia="仿宋_GB2312" w:cs="Times New Roman"/>
          <w:color w:val="000000"/>
          <w:kern w:val="0"/>
          <w:sz w:val="32"/>
          <w:szCs w:val="32"/>
          <w:lang w:val="en-US" w:eastAsia="zh-CN"/>
        </w:rPr>
        <w:t>办公室联系</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地址:枣庄市薛城区</w:t>
      </w:r>
      <w:r>
        <w:rPr>
          <w:rFonts w:hint="eastAsia" w:ascii="Times New Roman" w:hAnsi="Times New Roman" w:eastAsia="仿宋_GB2312" w:cs="Times New Roman"/>
          <w:color w:val="000000"/>
          <w:kern w:val="0"/>
          <w:sz w:val="32"/>
          <w:szCs w:val="32"/>
          <w:lang w:val="en-US" w:eastAsia="zh-CN"/>
        </w:rPr>
        <w:t>常庄街道麦穰店村南</w:t>
      </w:r>
      <w:r>
        <w:rPr>
          <w:rFonts w:hint="default" w:ascii="Times New Roman" w:hAnsi="Times New Roman" w:eastAsia="仿宋_GB2312" w:cs="Times New Roman"/>
          <w:color w:val="000000"/>
          <w:kern w:val="0"/>
          <w:sz w:val="32"/>
          <w:szCs w:val="32"/>
          <w:lang w:val="en-US" w:eastAsia="zh-CN"/>
        </w:rPr>
        <w:t>，邮编：277000</w:t>
      </w:r>
      <w:r>
        <w:rPr>
          <w:rFonts w:hint="eastAsia" w:ascii="Times New Roman" w:hAnsi="Times New Roman" w:eastAsia="仿宋_GB2312" w:cs="Times New Roman"/>
          <w:color w:val="000000"/>
          <w:kern w:val="0"/>
          <w:sz w:val="32"/>
          <w:szCs w:val="32"/>
          <w:lang w:val="en-US" w:eastAsia="zh-CN"/>
        </w:rPr>
        <w:t xml:space="preserve"> </w:t>
      </w:r>
      <w:r>
        <w:rPr>
          <w:rFonts w:hint="default" w:ascii="Times New Roman" w:hAnsi="Times New Roman" w:eastAsia="仿宋_GB2312" w:cs="Times New Roman"/>
          <w:color w:val="000000"/>
          <w:kern w:val="0"/>
          <w:sz w:val="32"/>
          <w:szCs w:val="32"/>
          <w:lang w:val="en-US" w:eastAsia="zh-CN"/>
        </w:rPr>
        <w:t>，电话：0632—</w:t>
      </w:r>
      <w:r>
        <w:rPr>
          <w:rFonts w:hint="eastAsia" w:ascii="Times New Roman" w:hAnsi="Times New Roman" w:eastAsia="仿宋_GB2312" w:cs="Times New Roman"/>
          <w:color w:val="000000"/>
          <w:kern w:val="0"/>
          <w:sz w:val="32"/>
          <w:szCs w:val="32"/>
          <w:lang w:val="en-US" w:eastAsia="zh-CN"/>
        </w:rPr>
        <w:t>4412527</w:t>
      </w:r>
      <w:r>
        <w:rPr>
          <w:rFonts w:hint="default" w:ascii="Times New Roman" w:hAnsi="Times New Roman" w:eastAsia="仿宋_GB2312" w:cs="Times New Roman"/>
          <w:color w:val="000000"/>
          <w:kern w:val="0"/>
          <w:sz w:val="32"/>
          <w:szCs w:val="32"/>
          <w:lang w:val="en-US" w:eastAsia="zh-CN"/>
        </w:rPr>
        <w:t>，电子邮箱：xc</w:t>
      </w:r>
      <w:r>
        <w:rPr>
          <w:rFonts w:hint="eastAsia" w:ascii="Times New Roman" w:hAnsi="Times New Roman" w:eastAsia="仿宋_GB2312" w:cs="Times New Roman"/>
          <w:color w:val="000000"/>
          <w:kern w:val="0"/>
          <w:sz w:val="32"/>
          <w:szCs w:val="32"/>
          <w:lang w:val="en-US" w:eastAsia="zh-CN"/>
        </w:rPr>
        <w:t>qcxswj</w:t>
      </w:r>
      <w:bookmarkStart w:id="0" w:name="_GoBack"/>
      <w:bookmarkEnd w:id="0"/>
      <w:r>
        <w:rPr>
          <w:rFonts w:hint="default" w:ascii="Times New Roman" w:hAnsi="Times New Roman" w:eastAsia="仿宋_GB2312" w:cs="Times New Roman"/>
          <w:color w:val="000000"/>
          <w:kern w:val="0"/>
          <w:sz w:val="32"/>
          <w:szCs w:val="32"/>
          <w:lang w:val="en-US" w:eastAsia="zh-CN"/>
        </w:rPr>
        <w:t>@zz.shandong.cn</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w:t>
      </w:r>
    </w:p>
    <w:p>
      <w:pPr>
        <w:keepNext w:val="0"/>
        <w:keepLines w:val="0"/>
        <w:pageBreakBefore w:val="0"/>
        <w:widowControl/>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Times New Roman"/>
          <w:color w:val="000000"/>
          <w:kern w:val="0"/>
          <w:sz w:val="32"/>
          <w:szCs w:val="32"/>
          <w:lang w:val="en-US" w:eastAsia="zh-CN"/>
        </w:rPr>
      </w:pPr>
    </w:p>
    <w:p>
      <w:pPr>
        <w:keepNext w:val="0"/>
        <w:keepLines w:val="0"/>
        <w:pageBreakBefore w:val="0"/>
        <w:widowControl/>
        <w:kinsoku/>
        <w:wordWrap/>
        <w:overflowPunct/>
        <w:topLinePunct w:val="0"/>
        <w:autoSpaceDE/>
        <w:autoSpaceDN/>
        <w:bidi w:val="0"/>
        <w:adjustRightInd/>
        <w:snapToGrid/>
        <w:ind w:firstLine="640" w:firstLineChars="200"/>
        <w:jc w:val="right"/>
        <w:textAlignment w:val="auto"/>
        <w:rPr>
          <w:rFonts w:hint="default" w:ascii="Times New Roman" w:hAnsi="Times New Roman" w:eastAsia="仿宋_GB2312" w:cs="Times New Roman"/>
          <w:color w:val="000000"/>
          <w:kern w:val="0"/>
          <w:sz w:val="32"/>
          <w:szCs w:val="32"/>
          <w:lang w:val="en-US" w:eastAsia="zh-CN"/>
        </w:rPr>
      </w:pPr>
      <w:r>
        <w:rPr>
          <w:rFonts w:hint="default" w:ascii="Times New Roman" w:hAnsi="Times New Roman" w:eastAsia="仿宋_GB2312" w:cs="Times New Roman"/>
          <w:color w:val="000000"/>
          <w:kern w:val="0"/>
          <w:sz w:val="32"/>
          <w:szCs w:val="32"/>
          <w:lang w:val="en-US" w:eastAsia="zh-CN"/>
        </w:rPr>
        <w:t>薛城区城乡水务局</w:t>
      </w:r>
    </w:p>
    <w:p>
      <w:pPr>
        <w:keepNext w:val="0"/>
        <w:keepLines w:val="0"/>
        <w:pageBreakBefore w:val="0"/>
        <w:widowControl/>
        <w:kinsoku/>
        <w:wordWrap/>
        <w:overflowPunct/>
        <w:topLinePunct w:val="0"/>
        <w:autoSpaceDE/>
        <w:autoSpaceDN/>
        <w:bidi w:val="0"/>
        <w:adjustRightInd/>
        <w:snapToGrid/>
        <w:ind w:firstLine="640" w:firstLineChars="200"/>
        <w:jc w:val="right"/>
        <w:textAlignment w:val="auto"/>
        <w:rPr>
          <w:rFonts w:hint="default" w:ascii="Times New Roman" w:hAnsi="Times New Roman" w:cs="Times New Roman"/>
        </w:rPr>
      </w:pPr>
      <w:r>
        <w:rPr>
          <w:rFonts w:hint="default" w:ascii="Times New Roman" w:hAnsi="Times New Roman" w:eastAsia="仿宋_GB2312" w:cs="Times New Roman"/>
          <w:color w:val="000000"/>
          <w:kern w:val="0"/>
          <w:sz w:val="32"/>
          <w:szCs w:val="32"/>
          <w:lang w:val="en-US" w:eastAsia="zh-CN"/>
        </w:rPr>
        <w:t>202</w:t>
      </w:r>
      <w:r>
        <w:rPr>
          <w:rFonts w:hint="eastAsia" w:ascii="Times New Roman" w:hAnsi="Times New Roman" w:eastAsia="仿宋_GB2312" w:cs="Times New Roman"/>
          <w:color w:val="000000"/>
          <w:kern w:val="0"/>
          <w:sz w:val="32"/>
          <w:szCs w:val="32"/>
          <w:lang w:val="en-US" w:eastAsia="zh-CN"/>
        </w:rPr>
        <w:t>3</w:t>
      </w:r>
      <w:r>
        <w:rPr>
          <w:rFonts w:hint="default" w:ascii="Times New Roman" w:hAnsi="Times New Roman" w:eastAsia="仿宋_GB2312" w:cs="Times New Roman"/>
          <w:color w:val="000000"/>
          <w:kern w:val="0"/>
          <w:sz w:val="32"/>
          <w:szCs w:val="32"/>
          <w:lang w:val="en-US" w:eastAsia="zh-CN"/>
        </w:rPr>
        <w:t>年1月</w:t>
      </w:r>
      <w:r>
        <w:rPr>
          <w:rFonts w:hint="eastAsia" w:ascii="Times New Roman" w:hAnsi="Times New Roman" w:eastAsia="仿宋_GB2312" w:cs="Times New Roman"/>
          <w:color w:val="000000"/>
          <w:kern w:val="0"/>
          <w:sz w:val="32"/>
          <w:szCs w:val="32"/>
          <w:lang w:val="en-US" w:eastAsia="zh-CN"/>
        </w:rPr>
        <w:t>28</w:t>
      </w:r>
      <w:r>
        <w:rPr>
          <w:rFonts w:hint="default" w:ascii="Times New Roman" w:hAnsi="Times New Roman" w:eastAsia="仿宋_GB2312" w:cs="Times New Roman"/>
          <w:color w:val="000000"/>
          <w:kern w:val="0"/>
          <w:sz w:val="32"/>
          <w:szCs w:val="32"/>
          <w:lang w:val="en-US" w:eastAsia="zh-CN"/>
        </w:rPr>
        <w:t>日</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A66A94"/>
    <w:multiLevelType w:val="singleLevel"/>
    <w:tmpl w:val="18A66A9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2NGYxODVhYjI2MTI0Yzc3YWYzMTc1OGFhOGUwMTMifQ=="/>
  </w:docVars>
  <w:rsids>
    <w:rsidRoot w:val="00000000"/>
    <w:rsid w:val="000D6D04"/>
    <w:rsid w:val="012278A7"/>
    <w:rsid w:val="022C3B09"/>
    <w:rsid w:val="042518DB"/>
    <w:rsid w:val="05FD5596"/>
    <w:rsid w:val="0F152540"/>
    <w:rsid w:val="0FA91612"/>
    <w:rsid w:val="130C47BE"/>
    <w:rsid w:val="138E6317"/>
    <w:rsid w:val="13A22AA5"/>
    <w:rsid w:val="17A222D4"/>
    <w:rsid w:val="188B1BF6"/>
    <w:rsid w:val="19513066"/>
    <w:rsid w:val="19B23C21"/>
    <w:rsid w:val="19B34BB5"/>
    <w:rsid w:val="19E04DE5"/>
    <w:rsid w:val="20BD7E42"/>
    <w:rsid w:val="2228286B"/>
    <w:rsid w:val="225976CE"/>
    <w:rsid w:val="23DC6477"/>
    <w:rsid w:val="26F67310"/>
    <w:rsid w:val="28A013AD"/>
    <w:rsid w:val="2A13795C"/>
    <w:rsid w:val="2B4744FD"/>
    <w:rsid w:val="2F28324B"/>
    <w:rsid w:val="32B81FF1"/>
    <w:rsid w:val="3469106E"/>
    <w:rsid w:val="35DE3C54"/>
    <w:rsid w:val="35E06C99"/>
    <w:rsid w:val="38610F83"/>
    <w:rsid w:val="39C975C4"/>
    <w:rsid w:val="3BB026E6"/>
    <w:rsid w:val="3D6B0553"/>
    <w:rsid w:val="3EF06D37"/>
    <w:rsid w:val="3F116709"/>
    <w:rsid w:val="3F1B2C13"/>
    <w:rsid w:val="40CA0A10"/>
    <w:rsid w:val="479F4B45"/>
    <w:rsid w:val="4E542EBF"/>
    <w:rsid w:val="4F7F587B"/>
    <w:rsid w:val="53263574"/>
    <w:rsid w:val="5331310D"/>
    <w:rsid w:val="5398260C"/>
    <w:rsid w:val="573A594E"/>
    <w:rsid w:val="58CF0098"/>
    <w:rsid w:val="5A096502"/>
    <w:rsid w:val="5C9A30E1"/>
    <w:rsid w:val="5CA34C2E"/>
    <w:rsid w:val="5DED2151"/>
    <w:rsid w:val="639D5F0D"/>
    <w:rsid w:val="63F57B6A"/>
    <w:rsid w:val="66276298"/>
    <w:rsid w:val="683653CE"/>
    <w:rsid w:val="68A35D74"/>
    <w:rsid w:val="6D1234C8"/>
    <w:rsid w:val="6E2D6367"/>
    <w:rsid w:val="6E5D7227"/>
    <w:rsid w:val="736426FB"/>
    <w:rsid w:val="73801B0C"/>
    <w:rsid w:val="7470119F"/>
    <w:rsid w:val="76A414F7"/>
    <w:rsid w:val="7A143879"/>
    <w:rsid w:val="7CA9767A"/>
    <w:rsid w:val="7D2A03BA"/>
    <w:rsid w:val="7EC56D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2492</Words>
  <Characters>2644</Characters>
  <Lines>0</Lines>
  <Paragraphs>0</Paragraphs>
  <TotalTime>2</TotalTime>
  <ScaleCrop>false</ScaleCrop>
  <LinksUpToDate>false</LinksUpToDate>
  <CharactersWithSpaces>2644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2021-01-19T03:11:00Z</dcterms:created>
  <dc:creator>Administrator</dc:creator>
  <cp:lastModifiedBy>果味儿。</cp:lastModifiedBy>
  <cp:lastPrinted>2021-01-25T02:40:00Z</cp:lastPrinted>
  <dcterms:modified xsi:type="dcterms:W3CDTF">2023-02-02T03:08:58Z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042F98CBB861462AB4024A931FB3C199</vt:lpwstr>
  </property>
</Properties>
</file>