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薛城区市场监督管理局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2</w:t>
      </w:r>
      <w:r>
        <w:rPr>
          <w:rFonts w:hint="default" w:ascii="Times New Roman" w:hAnsi="Times New Roman" w:eastAsia="方正小标宋简体" w:cs="Times New Roman"/>
          <w:sz w:val="44"/>
          <w:szCs w:val="44"/>
        </w:rPr>
        <w:t>年政府信息公开工作年度报告</w:t>
      </w:r>
    </w:p>
    <w:p>
      <w:pPr>
        <w:pStyle w:val="3"/>
        <w:spacing w:before="0" w:beforeAutospacing="0" w:after="0" w:afterAutospacing="0" w:line="560" w:lineRule="exact"/>
        <w:ind w:firstLine="640" w:firstLineChars="200"/>
        <w:rPr>
          <w:rFonts w:hint="default" w:ascii="Times New Roman" w:hAnsi="Times New Roman" w:eastAsia="仿宋_GB2312" w:cs="Times New Roman"/>
          <w:sz w:val="32"/>
          <w:szCs w:val="32"/>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根据《中华人民共和国政府信息公开条例》和《关于做好202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年政府信息公开工作年度报告编制和发布工作的通知》要求，特向社会公布202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年度薛城区市场监管局政府信息公开工作年度报告。</w:t>
      </w:r>
      <w:r>
        <w:rPr>
          <w:rFonts w:hint="default" w:ascii="Times New Roman" w:hAnsi="Times New Roman" w:eastAsia="仿宋_GB2312" w:cs="Times New Roman"/>
          <w:sz w:val="32"/>
          <w:szCs w:val="32"/>
          <w:shd w:val="clear" w:color="auto" w:fill="FFFFFF"/>
        </w:rPr>
        <w:t>本报告包括总体情况、主动公开政府信息情况、收到和处理政府信息公开申请情况、政府信息公开行政复议、行政诉讼情况、存在的主要问题及改进情况、其他需要报告的事项等六部分，</w:t>
      </w:r>
      <w:r>
        <w:rPr>
          <w:rFonts w:hint="default" w:ascii="Times New Roman" w:hAnsi="Times New Roman" w:eastAsia="仿宋_GB2312" w:cs="Times New Roman"/>
          <w:sz w:val="32"/>
          <w:szCs w:val="32"/>
        </w:rPr>
        <w:t>本报告中所列数据的统计期限为202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年1月1日至202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年12月31日</w:t>
      </w:r>
      <w:r>
        <w:rPr>
          <w:rFonts w:hint="default" w:ascii="Times New Roman" w:hAnsi="Times New Roman" w:eastAsia="仿宋_GB2312" w:cs="Times New Roman"/>
          <w:spacing w:val="-3"/>
          <w:sz w:val="32"/>
          <w:szCs w:val="32"/>
        </w:rPr>
        <w:t>。</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一、总体情况</w:t>
      </w:r>
    </w:p>
    <w:p>
      <w:pPr>
        <w:pStyle w:val="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sans-serif" w:cs="Times New Roman"/>
          <w:i w:val="0"/>
          <w:iCs w:val="0"/>
          <w:caps w:val="0"/>
          <w:color w:val="000000"/>
          <w:spacing w:val="0"/>
          <w:sz w:val="27"/>
          <w:szCs w:val="27"/>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年，薛城区市场监管局高度重视政府信息公开工作，认真贯彻落实《中华人民共和国政府信息公开条例》，严格按照《关于做好202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年政府信息公开</w:t>
      </w:r>
      <w:r>
        <w:rPr>
          <w:rFonts w:hint="default" w:ascii="Times New Roman" w:hAnsi="Times New Roman" w:eastAsia="仿宋_GB2312" w:cs="Times New Roman"/>
          <w:i w:val="0"/>
          <w:iCs w:val="0"/>
          <w:caps w:val="0"/>
          <w:color w:val="000000"/>
          <w:spacing w:val="0"/>
          <w:sz w:val="31"/>
          <w:szCs w:val="31"/>
        </w:rPr>
        <w:t>工作年度报告编制和发布工作的通知》要求，积极推进政府信息公开工作，确保信息内容准确规范地传达给社会、公众。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_GB2312" w:cs="Times New Roman"/>
          <w:i w:val="0"/>
          <w:iCs w:val="0"/>
          <w:caps w:val="0"/>
          <w:color w:val="282828"/>
          <w:spacing w:val="0"/>
          <w:sz w:val="31"/>
          <w:szCs w:val="31"/>
          <w:shd w:val="clear" w:color="auto" w:fill="FFFFFF"/>
        </w:rPr>
        <w:t>   </w:t>
      </w:r>
      <w:r>
        <w:rPr>
          <w:rFonts w:hint="default" w:ascii="Times New Roman" w:hAnsi="Times New Roman" w:eastAsia="楷体" w:cs="Times New Roman"/>
          <w:i w:val="0"/>
          <w:iCs w:val="0"/>
          <w:caps w:val="0"/>
          <w:color w:val="282828"/>
          <w:spacing w:val="0"/>
          <w:sz w:val="31"/>
          <w:szCs w:val="31"/>
          <w:shd w:val="clear" w:color="auto" w:fill="FFFFFF"/>
        </w:rPr>
        <w:t> （一）主动公开情况。</w:t>
      </w:r>
      <w:r>
        <w:rPr>
          <w:rFonts w:hint="default" w:ascii="Times New Roman" w:hAnsi="Times New Roman" w:eastAsia="仿宋_GB2312" w:cs="Times New Roman"/>
          <w:i w:val="0"/>
          <w:iCs w:val="0"/>
          <w:caps w:val="0"/>
          <w:color w:val="000000"/>
          <w:spacing w:val="0"/>
          <w:sz w:val="31"/>
          <w:szCs w:val="31"/>
          <w:shd w:val="clear" w:color="auto" w:fill="FFFFFF"/>
        </w:rPr>
        <w:t>根据政务公开目录指南和公开考核要求，主动于薛城区人民政府官网上公开政务信息</w:t>
      </w:r>
      <w:r>
        <w:rPr>
          <w:rFonts w:hint="default" w:ascii="Times New Roman" w:hAnsi="Times New Roman" w:eastAsia="仿宋_GB2312" w:cs="Times New Roman"/>
          <w:i w:val="0"/>
          <w:iCs w:val="0"/>
          <w:caps w:val="0"/>
          <w:color w:val="000000"/>
          <w:spacing w:val="0"/>
          <w:sz w:val="31"/>
          <w:szCs w:val="31"/>
          <w:shd w:val="clear" w:color="auto" w:fill="FFFFFF"/>
          <w:lang w:val="en-US" w:eastAsia="zh-CN"/>
        </w:rPr>
        <w:t>201</w:t>
      </w:r>
      <w:r>
        <w:rPr>
          <w:rFonts w:hint="default" w:ascii="Times New Roman" w:hAnsi="Times New Roman" w:eastAsia="仿宋_GB2312" w:cs="Times New Roman"/>
          <w:i w:val="0"/>
          <w:iCs w:val="0"/>
          <w:caps w:val="0"/>
          <w:color w:val="000000"/>
          <w:spacing w:val="0"/>
          <w:sz w:val="31"/>
          <w:szCs w:val="31"/>
          <w:shd w:val="clear" w:color="auto" w:fill="FFFFFF"/>
        </w:rPr>
        <w:t>条，发布信息格式规范、内容完整。公开内容主要包括工作动态、机构职能、部门文件及政策解读、行政执法公示等。其中：部门业务工作信息</w:t>
      </w:r>
      <w:r>
        <w:rPr>
          <w:rFonts w:hint="default" w:ascii="Times New Roman" w:hAnsi="Times New Roman" w:eastAsia="仿宋_GB2312" w:cs="Times New Roman"/>
          <w:i w:val="0"/>
          <w:iCs w:val="0"/>
          <w:caps w:val="0"/>
          <w:color w:val="000000"/>
          <w:spacing w:val="0"/>
          <w:sz w:val="31"/>
          <w:szCs w:val="31"/>
          <w:shd w:val="clear" w:color="auto" w:fill="FFFFFF"/>
          <w:lang w:val="en-US" w:eastAsia="zh-CN"/>
        </w:rPr>
        <w:t>1</w:t>
      </w:r>
      <w:r>
        <w:rPr>
          <w:rFonts w:hint="default" w:ascii="Times New Roman" w:hAnsi="Times New Roman" w:eastAsia="仿宋_GB2312" w:cs="Times New Roman"/>
          <w:i w:val="0"/>
          <w:iCs w:val="0"/>
          <w:caps w:val="0"/>
          <w:color w:val="000000"/>
          <w:spacing w:val="0"/>
          <w:sz w:val="31"/>
          <w:szCs w:val="31"/>
          <w:shd w:val="clear" w:color="auto" w:fill="FFFFFF"/>
        </w:rPr>
        <w:t>4条，</w:t>
      </w:r>
      <w:r>
        <w:rPr>
          <w:rFonts w:hint="default" w:ascii="Times New Roman" w:hAnsi="Times New Roman" w:eastAsia="仿宋_GB2312" w:cs="Times New Roman"/>
          <w:i w:val="0"/>
          <w:iCs w:val="0"/>
          <w:caps w:val="0"/>
          <w:color w:val="000000"/>
          <w:spacing w:val="0"/>
          <w:sz w:val="31"/>
          <w:szCs w:val="31"/>
          <w:shd w:val="clear" w:color="auto" w:fill="FFFFFF"/>
          <w:lang w:val="en-US" w:eastAsia="zh-CN"/>
        </w:rPr>
        <w:t>行政权力</w:t>
      </w:r>
      <w:r>
        <w:rPr>
          <w:rFonts w:hint="default" w:ascii="Times New Roman" w:hAnsi="Times New Roman" w:eastAsia="仿宋_GB2312" w:cs="Times New Roman"/>
          <w:i w:val="0"/>
          <w:iCs w:val="0"/>
          <w:caps w:val="0"/>
          <w:color w:val="000000"/>
          <w:spacing w:val="0"/>
          <w:sz w:val="31"/>
          <w:szCs w:val="31"/>
          <w:shd w:val="clear" w:color="auto" w:fill="FFFFFF"/>
        </w:rPr>
        <w:t>信息</w:t>
      </w:r>
      <w:r>
        <w:rPr>
          <w:rFonts w:hint="default" w:ascii="Times New Roman" w:hAnsi="Times New Roman" w:eastAsia="仿宋_GB2312" w:cs="Times New Roman"/>
          <w:i w:val="0"/>
          <w:iCs w:val="0"/>
          <w:caps w:val="0"/>
          <w:color w:val="000000"/>
          <w:spacing w:val="0"/>
          <w:sz w:val="31"/>
          <w:szCs w:val="31"/>
          <w:shd w:val="clear" w:color="auto" w:fill="FFFFFF"/>
          <w:lang w:val="en-US" w:eastAsia="zh-CN"/>
        </w:rPr>
        <w:t>2</w:t>
      </w:r>
      <w:r>
        <w:rPr>
          <w:rFonts w:hint="default" w:ascii="Times New Roman" w:hAnsi="Times New Roman" w:eastAsia="仿宋_GB2312" w:cs="Times New Roman"/>
          <w:i w:val="0"/>
          <w:iCs w:val="0"/>
          <w:caps w:val="0"/>
          <w:color w:val="000000"/>
          <w:spacing w:val="0"/>
          <w:sz w:val="31"/>
          <w:szCs w:val="31"/>
          <w:shd w:val="clear" w:color="auto" w:fill="FFFFFF"/>
        </w:rPr>
        <w:t>条，政策解读信息</w:t>
      </w:r>
      <w:r>
        <w:rPr>
          <w:rFonts w:hint="default" w:ascii="Times New Roman" w:hAnsi="Times New Roman" w:eastAsia="仿宋_GB2312" w:cs="Times New Roman"/>
          <w:i w:val="0"/>
          <w:iCs w:val="0"/>
          <w:caps w:val="0"/>
          <w:color w:val="000000"/>
          <w:spacing w:val="0"/>
          <w:sz w:val="31"/>
          <w:szCs w:val="31"/>
          <w:shd w:val="clear" w:color="auto" w:fill="FFFFFF"/>
          <w:lang w:val="en-US" w:eastAsia="zh-CN"/>
        </w:rPr>
        <w:t>3</w:t>
      </w:r>
      <w:r>
        <w:rPr>
          <w:rFonts w:hint="default" w:ascii="Times New Roman" w:hAnsi="Times New Roman" w:eastAsia="仿宋_GB2312" w:cs="Times New Roman"/>
          <w:i w:val="0"/>
          <w:iCs w:val="0"/>
          <w:caps w:val="0"/>
          <w:color w:val="000000"/>
          <w:spacing w:val="0"/>
          <w:sz w:val="31"/>
          <w:szCs w:val="31"/>
          <w:shd w:val="clear" w:color="auto" w:fill="FFFFFF"/>
        </w:rPr>
        <w:t>条，重要部署执行信息</w:t>
      </w:r>
      <w:r>
        <w:rPr>
          <w:rFonts w:hint="default" w:ascii="Times New Roman" w:hAnsi="Times New Roman" w:eastAsia="仿宋_GB2312" w:cs="Times New Roman"/>
          <w:i w:val="0"/>
          <w:iCs w:val="0"/>
          <w:caps w:val="0"/>
          <w:color w:val="000000"/>
          <w:spacing w:val="0"/>
          <w:sz w:val="31"/>
          <w:szCs w:val="31"/>
          <w:shd w:val="clear" w:color="auto" w:fill="FFFFFF"/>
          <w:lang w:val="en-US" w:eastAsia="zh-CN"/>
        </w:rPr>
        <w:t>8</w:t>
      </w:r>
      <w:r>
        <w:rPr>
          <w:rFonts w:hint="default" w:ascii="Times New Roman" w:hAnsi="Times New Roman" w:eastAsia="仿宋_GB2312" w:cs="Times New Roman"/>
          <w:i w:val="0"/>
          <w:iCs w:val="0"/>
          <w:caps w:val="0"/>
          <w:color w:val="000000"/>
          <w:spacing w:val="0"/>
          <w:sz w:val="31"/>
          <w:szCs w:val="31"/>
          <w:shd w:val="clear" w:color="auto" w:fill="FFFFFF"/>
        </w:rPr>
        <w:t>条，执法结果信息</w:t>
      </w:r>
      <w:r>
        <w:rPr>
          <w:rFonts w:hint="default" w:ascii="Times New Roman" w:hAnsi="Times New Roman" w:eastAsia="仿宋_GB2312" w:cs="Times New Roman"/>
          <w:i w:val="0"/>
          <w:iCs w:val="0"/>
          <w:caps w:val="0"/>
          <w:color w:val="000000"/>
          <w:spacing w:val="0"/>
          <w:sz w:val="31"/>
          <w:szCs w:val="31"/>
          <w:shd w:val="clear" w:color="auto" w:fill="FFFFFF"/>
          <w:lang w:val="en-US" w:eastAsia="zh-CN"/>
        </w:rPr>
        <w:t>89</w:t>
      </w:r>
      <w:r>
        <w:rPr>
          <w:rFonts w:hint="default" w:ascii="Times New Roman" w:hAnsi="Times New Roman" w:eastAsia="仿宋_GB2312" w:cs="Times New Roman"/>
          <w:i w:val="0"/>
          <w:iCs w:val="0"/>
          <w:caps w:val="0"/>
          <w:color w:val="000000"/>
          <w:spacing w:val="0"/>
          <w:sz w:val="31"/>
          <w:szCs w:val="31"/>
          <w:shd w:val="clear" w:color="auto" w:fill="FFFFFF"/>
        </w:rPr>
        <w:t>条，其他信息</w:t>
      </w:r>
      <w:r>
        <w:rPr>
          <w:rFonts w:hint="default" w:ascii="Times New Roman" w:hAnsi="Times New Roman" w:eastAsia="仿宋_GB2312" w:cs="Times New Roman"/>
          <w:i w:val="0"/>
          <w:iCs w:val="0"/>
          <w:caps w:val="0"/>
          <w:color w:val="000000"/>
          <w:spacing w:val="0"/>
          <w:sz w:val="31"/>
          <w:szCs w:val="31"/>
          <w:shd w:val="clear" w:color="auto" w:fill="FFFFFF"/>
          <w:lang w:val="en-US" w:eastAsia="zh-CN"/>
        </w:rPr>
        <w:t>85</w:t>
      </w:r>
      <w:r>
        <w:rPr>
          <w:rFonts w:hint="default" w:ascii="Times New Roman" w:hAnsi="Times New Roman" w:eastAsia="仿宋_GB2312" w:cs="Times New Roman"/>
          <w:i w:val="0"/>
          <w:iCs w:val="0"/>
          <w:caps w:val="0"/>
          <w:color w:val="000000"/>
          <w:spacing w:val="0"/>
          <w:sz w:val="31"/>
          <w:szCs w:val="31"/>
          <w:shd w:val="clear" w:color="auto" w:fill="FFFFFF"/>
        </w:rPr>
        <w:t>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仿宋_GB2312" w:cs="Times New Roman"/>
          <w:i w:val="0"/>
          <w:iCs w:val="0"/>
          <w:caps w:val="0"/>
          <w:color w:val="282828"/>
          <w:spacing w:val="0"/>
          <w:sz w:val="31"/>
          <w:szCs w:val="31"/>
          <w:shd w:val="clear" w:color="auto" w:fill="FFFFFF"/>
        </w:rPr>
        <w:t>   </w:t>
      </w:r>
      <w:r>
        <w:rPr>
          <w:rFonts w:hint="default" w:ascii="Times New Roman" w:hAnsi="Times New Roman" w:eastAsia="楷体" w:cs="Times New Roman"/>
          <w:i w:val="0"/>
          <w:iCs w:val="0"/>
          <w:caps w:val="0"/>
          <w:color w:val="282828"/>
          <w:spacing w:val="0"/>
          <w:sz w:val="31"/>
          <w:szCs w:val="31"/>
          <w:shd w:val="clear" w:color="auto" w:fill="FFFFFF"/>
        </w:rPr>
        <w:t> （二）依申请公开情况。2</w:t>
      </w:r>
      <w:r>
        <w:rPr>
          <w:rFonts w:hint="default" w:ascii="Times New Roman" w:hAnsi="Times New Roman" w:eastAsia="微软雅黑" w:cs="Times New Roman"/>
          <w:i w:val="0"/>
          <w:iCs w:val="0"/>
          <w:caps w:val="0"/>
          <w:color w:val="00000A"/>
          <w:spacing w:val="0"/>
          <w:sz w:val="31"/>
          <w:szCs w:val="31"/>
          <w:shd w:val="clear" w:color="auto" w:fill="FFFFFF"/>
        </w:rPr>
        <w:t>02</w:t>
      </w:r>
      <w:r>
        <w:rPr>
          <w:rFonts w:hint="default" w:ascii="Times New Roman" w:hAnsi="Times New Roman" w:eastAsia="微软雅黑" w:cs="Times New Roman"/>
          <w:i w:val="0"/>
          <w:iCs w:val="0"/>
          <w:caps w:val="0"/>
          <w:color w:val="00000A"/>
          <w:spacing w:val="0"/>
          <w:sz w:val="31"/>
          <w:szCs w:val="31"/>
          <w:shd w:val="clear" w:color="auto" w:fill="FFFFFF"/>
          <w:lang w:val="en-US" w:eastAsia="zh-CN"/>
        </w:rPr>
        <w:t>2</w:t>
      </w:r>
      <w:r>
        <w:rPr>
          <w:rFonts w:hint="default" w:ascii="Times New Roman" w:hAnsi="Times New Roman" w:eastAsia="仿宋_GB2312" w:cs="Times New Roman"/>
          <w:i w:val="0"/>
          <w:iCs w:val="0"/>
          <w:caps w:val="0"/>
          <w:color w:val="000000"/>
          <w:spacing w:val="0"/>
          <w:sz w:val="31"/>
          <w:szCs w:val="31"/>
          <w:shd w:val="clear" w:color="auto" w:fill="FFFFFF"/>
        </w:rPr>
        <w:t>年度，我局全年共收到依申请公开信息</w:t>
      </w:r>
      <w:r>
        <w:rPr>
          <w:rFonts w:hint="default" w:ascii="Times New Roman" w:hAnsi="Times New Roman" w:eastAsia="微软雅黑" w:cs="Times New Roman"/>
          <w:i w:val="0"/>
          <w:iCs w:val="0"/>
          <w:caps w:val="0"/>
          <w:color w:val="000000"/>
          <w:spacing w:val="0"/>
          <w:sz w:val="31"/>
          <w:szCs w:val="31"/>
          <w:shd w:val="clear" w:color="auto" w:fill="FFFFFF"/>
          <w:lang w:val="en-US" w:eastAsia="zh-CN"/>
        </w:rPr>
        <w:t>0</w:t>
      </w:r>
      <w:r>
        <w:rPr>
          <w:rFonts w:hint="default" w:ascii="Times New Roman" w:hAnsi="Times New Roman" w:eastAsia="仿宋_GB2312" w:cs="Times New Roman"/>
          <w:i w:val="0"/>
          <w:iCs w:val="0"/>
          <w:caps w:val="0"/>
          <w:color w:val="000000"/>
          <w:spacing w:val="0"/>
          <w:sz w:val="31"/>
          <w:szCs w:val="31"/>
          <w:shd w:val="clear" w:color="auto" w:fill="FFFFFF"/>
        </w:rPr>
        <w:t>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705"/>
        <w:jc w:val="both"/>
        <w:textAlignment w:val="auto"/>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楷体" w:cs="Times New Roman"/>
          <w:i w:val="0"/>
          <w:iCs w:val="0"/>
          <w:caps w:val="0"/>
          <w:color w:val="282828"/>
          <w:spacing w:val="0"/>
          <w:sz w:val="31"/>
          <w:szCs w:val="31"/>
          <w:shd w:val="clear" w:color="auto" w:fill="FFFFFF"/>
        </w:rPr>
        <w:t>（三）政府信息管理。</w:t>
      </w:r>
      <w:r>
        <w:rPr>
          <w:rFonts w:hint="default" w:ascii="Times New Roman" w:hAnsi="Times New Roman" w:eastAsia="仿宋_GB2312" w:cs="Times New Roman"/>
          <w:i w:val="0"/>
          <w:iCs w:val="0"/>
          <w:caps w:val="0"/>
          <w:color w:val="000000"/>
          <w:spacing w:val="0"/>
          <w:sz w:val="31"/>
          <w:szCs w:val="31"/>
          <w:shd w:val="clear" w:color="auto" w:fill="FFFFFF"/>
        </w:rPr>
        <w:t>进一步完善政务信息管理机制</w:t>
      </w:r>
      <w:r>
        <w:rPr>
          <w:rFonts w:hint="default" w:ascii="Times New Roman" w:hAnsi="Times New Roman" w:eastAsia="仿宋_GB2312" w:cs="Times New Roman"/>
          <w:i w:val="0"/>
          <w:iCs w:val="0"/>
          <w:caps w:val="0"/>
          <w:color w:val="000000"/>
          <w:spacing w:val="0"/>
          <w:sz w:val="31"/>
          <w:szCs w:val="31"/>
          <w:shd w:val="clear" w:color="auto" w:fill="FFFFFF"/>
          <w:lang w:eastAsia="zh-CN"/>
        </w:rPr>
        <w:t>，</w:t>
      </w:r>
      <w:r>
        <w:rPr>
          <w:rFonts w:hint="default" w:ascii="Times New Roman" w:hAnsi="Times New Roman" w:eastAsia="仿宋_GB2312" w:cs="Times New Roman"/>
          <w:i w:val="0"/>
          <w:iCs w:val="0"/>
          <w:caps w:val="0"/>
          <w:color w:val="000000"/>
          <w:spacing w:val="0"/>
          <w:sz w:val="31"/>
          <w:szCs w:val="31"/>
          <w:shd w:val="clear" w:color="auto" w:fill="FFFFFF"/>
        </w:rPr>
        <w:t>不断建立健全政务信息制作、公开、存档等制度，探索政务信息规范化管理</w:t>
      </w:r>
      <w:r>
        <w:rPr>
          <w:rFonts w:hint="default" w:ascii="Times New Roman" w:hAnsi="Times New Roman" w:eastAsia="仿宋_GB2312" w:cs="Times New Roman"/>
          <w:i w:val="0"/>
          <w:iCs w:val="0"/>
          <w:caps w:val="0"/>
          <w:color w:val="000000"/>
          <w:spacing w:val="0"/>
          <w:sz w:val="31"/>
          <w:szCs w:val="31"/>
          <w:shd w:val="clear" w:color="auto" w:fill="FFFFFF"/>
          <w:lang w:eastAsia="zh-CN"/>
        </w:rPr>
        <w:t>。</w:t>
      </w:r>
      <w:r>
        <w:rPr>
          <w:rFonts w:hint="default" w:ascii="Times New Roman" w:hAnsi="Times New Roman" w:eastAsia="仿宋_GB2312" w:cs="Times New Roman"/>
          <w:i w:val="0"/>
          <w:iCs w:val="0"/>
          <w:caps w:val="0"/>
          <w:color w:val="000000"/>
          <w:spacing w:val="0"/>
          <w:sz w:val="31"/>
          <w:szCs w:val="31"/>
          <w:shd w:val="clear" w:color="auto" w:fill="FFFFFF"/>
          <w:lang w:val="en-US" w:eastAsia="zh-CN"/>
        </w:rPr>
        <w:t>严格落实信息发布“三审三校”制度</w:t>
      </w:r>
      <w:r>
        <w:rPr>
          <w:rFonts w:hint="default" w:ascii="Times New Roman" w:hAnsi="Times New Roman" w:eastAsia="仿宋_GB2312" w:cs="Times New Roman"/>
          <w:i w:val="0"/>
          <w:iCs w:val="0"/>
          <w:caps w:val="0"/>
          <w:color w:val="000000"/>
          <w:spacing w:val="0"/>
          <w:sz w:val="31"/>
          <w:szCs w:val="31"/>
          <w:shd w:val="clear" w:color="auto" w:fill="FFFFFF"/>
          <w:lang w:eastAsia="zh-CN"/>
        </w:rPr>
        <w:t>，</w:t>
      </w:r>
      <w:r>
        <w:rPr>
          <w:rFonts w:hint="default" w:ascii="Times New Roman" w:hAnsi="Times New Roman" w:eastAsia="仿宋_GB2312" w:cs="Times New Roman"/>
          <w:i w:val="0"/>
          <w:iCs w:val="0"/>
          <w:caps w:val="0"/>
          <w:color w:val="000000"/>
          <w:spacing w:val="0"/>
          <w:sz w:val="31"/>
          <w:szCs w:val="31"/>
          <w:shd w:val="clear" w:color="auto" w:fill="FFFFFF"/>
        </w:rPr>
        <w:t>加强政务信息的管理，严格按照政务公开、信息公开的要求，及时向社会公众发布政务信息，发挥好政务信息主渠道作用。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705"/>
        <w:jc w:val="both"/>
        <w:textAlignment w:val="auto"/>
        <w:rPr>
          <w:rFonts w:hint="default" w:ascii="Times New Roman" w:hAnsi="Times New Roman" w:eastAsia="微软雅黑" w:cs="Times New Roman"/>
          <w:i w:val="0"/>
          <w:iCs w:val="0"/>
          <w:caps w:val="0"/>
          <w:color w:val="000000"/>
          <w:spacing w:val="0"/>
          <w:sz w:val="24"/>
          <w:szCs w:val="24"/>
        </w:rPr>
      </w:pPr>
      <w:r>
        <w:rPr>
          <w:rFonts w:hint="default" w:ascii="Times New Roman" w:hAnsi="Times New Roman" w:eastAsia="楷体" w:cs="Times New Roman"/>
          <w:i w:val="0"/>
          <w:iCs w:val="0"/>
          <w:caps w:val="0"/>
          <w:color w:val="282828"/>
          <w:spacing w:val="0"/>
          <w:sz w:val="31"/>
          <w:szCs w:val="31"/>
          <w:shd w:val="clear" w:color="auto" w:fill="FFFFFF"/>
        </w:rPr>
        <w:t>（四）政府信息公开平台建设。</w:t>
      </w:r>
      <w:r>
        <w:rPr>
          <w:rFonts w:hint="default" w:ascii="Times New Roman" w:hAnsi="Times New Roman" w:eastAsia="仿宋_GB2312" w:cs="Times New Roman"/>
          <w:i w:val="0"/>
          <w:iCs w:val="0"/>
          <w:caps w:val="0"/>
          <w:color w:val="000000"/>
          <w:spacing w:val="0"/>
          <w:sz w:val="31"/>
          <w:szCs w:val="31"/>
          <w:shd w:val="clear" w:color="auto" w:fill="FFFFFF"/>
        </w:rPr>
        <w:t>我局政务公开信息主要通过区政府门户网站发布。202</w:t>
      </w:r>
      <w:r>
        <w:rPr>
          <w:rFonts w:hint="default" w:ascii="Times New Roman" w:hAnsi="Times New Roman" w:eastAsia="仿宋_GB2312" w:cs="Times New Roman"/>
          <w:i w:val="0"/>
          <w:iCs w:val="0"/>
          <w:caps w:val="0"/>
          <w:color w:val="000000"/>
          <w:spacing w:val="0"/>
          <w:sz w:val="31"/>
          <w:szCs w:val="31"/>
          <w:shd w:val="clear" w:color="auto" w:fill="FFFFFF"/>
          <w:lang w:val="en-US" w:eastAsia="zh-CN"/>
        </w:rPr>
        <w:t>2</w:t>
      </w:r>
      <w:r>
        <w:rPr>
          <w:rFonts w:hint="default" w:ascii="Times New Roman" w:hAnsi="Times New Roman" w:eastAsia="仿宋_GB2312" w:cs="Times New Roman"/>
          <w:i w:val="0"/>
          <w:iCs w:val="0"/>
          <w:caps w:val="0"/>
          <w:color w:val="000000"/>
          <w:spacing w:val="0"/>
          <w:sz w:val="31"/>
          <w:szCs w:val="31"/>
          <w:shd w:val="clear" w:color="auto" w:fill="FFFFFF"/>
        </w:rPr>
        <w:t>年度，我局严格按照区政府集约化智能门户平台板块及栏目设置公开各项政务信息，确保应有公开栏目不漏项，信息报送保质保量。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705"/>
        <w:jc w:val="both"/>
        <w:textAlignment w:val="auto"/>
        <w:rPr>
          <w:rFonts w:hint="default" w:ascii="Times New Roman" w:hAnsi="Times New Roman" w:eastAsia="仿宋_GB2312" w:cs="Times New Roman"/>
          <w:i w:val="0"/>
          <w:iCs w:val="0"/>
          <w:caps w:val="0"/>
          <w:color w:val="000000"/>
          <w:spacing w:val="0"/>
          <w:sz w:val="31"/>
          <w:szCs w:val="31"/>
          <w:shd w:val="clear" w:color="auto" w:fill="FFFFFF"/>
        </w:rPr>
      </w:pPr>
      <w:r>
        <w:rPr>
          <w:rFonts w:hint="default" w:ascii="Times New Roman" w:hAnsi="Times New Roman" w:eastAsia="楷体" w:cs="Times New Roman"/>
          <w:i w:val="0"/>
          <w:iCs w:val="0"/>
          <w:caps w:val="0"/>
          <w:color w:val="282828"/>
          <w:spacing w:val="0"/>
          <w:sz w:val="31"/>
          <w:szCs w:val="31"/>
          <w:shd w:val="clear" w:color="auto" w:fill="FFFFFF"/>
        </w:rPr>
        <w:t>（五）监督保障。</w:t>
      </w:r>
      <w:r>
        <w:rPr>
          <w:rFonts w:hint="default" w:ascii="Times New Roman" w:hAnsi="Times New Roman" w:eastAsia="仿宋_GB2312" w:cs="Times New Roman"/>
          <w:i w:val="0"/>
          <w:iCs w:val="0"/>
          <w:caps w:val="0"/>
          <w:color w:val="000000"/>
          <w:spacing w:val="0"/>
          <w:sz w:val="31"/>
          <w:szCs w:val="31"/>
          <w:shd w:val="clear" w:color="auto" w:fill="FFFFFF"/>
        </w:rPr>
        <w:t>根据人员变动及时调整局政务公开工作领导小组，强化组织领导，明确责任分工。定期组织政务公开信息员业务培训，强化保密意识，提升业务水平。主动接受区政务公开办及部门对我局政务信息公开情况的监督，对照监督检测出的问题及时认真做好整改工作。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二、主动公开政府信息情况</w:t>
      </w: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2206"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本年制发件数</w:t>
            </w:r>
          </w:p>
        </w:tc>
        <w:tc>
          <w:tcPr>
            <w:tcW w:w="2206"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本年废止件数</w:t>
            </w:r>
          </w:p>
        </w:tc>
        <w:tc>
          <w:tcPr>
            <w:tcW w:w="2206"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规章</w:t>
            </w:r>
          </w:p>
        </w:tc>
        <w:tc>
          <w:tcPr>
            <w:tcW w:w="2206"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0</w:t>
            </w:r>
          </w:p>
        </w:tc>
        <w:tc>
          <w:tcPr>
            <w:tcW w:w="2206"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0</w:t>
            </w:r>
          </w:p>
        </w:tc>
        <w:tc>
          <w:tcPr>
            <w:tcW w:w="2206"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行政规范性文件</w:t>
            </w:r>
          </w:p>
        </w:tc>
        <w:tc>
          <w:tcPr>
            <w:tcW w:w="2206"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0</w:t>
            </w:r>
          </w:p>
        </w:tc>
        <w:tc>
          <w:tcPr>
            <w:tcW w:w="2206"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0</w:t>
            </w:r>
          </w:p>
        </w:tc>
        <w:tc>
          <w:tcPr>
            <w:tcW w:w="2206" w:type="dxa"/>
            <w:tcBorders>
              <w:top w:val="nil"/>
              <w:left w:val="nil"/>
              <w:bottom w:val="single" w:color="auto" w:sz="8" w:space="0"/>
              <w:right w:val="single" w:color="auto" w:sz="8" w:space="0"/>
            </w:tcBorders>
            <w:noWrap w:val="0"/>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default" w:ascii="Times New Roman" w:hAnsi="Times New Roman" w:eastAsia="仿宋_GB2312" w:cs="Times New Roman"/>
                <w:color w:val="000000"/>
                <w:kern w:val="0"/>
                <w:szCs w:val="21"/>
                <w:highlight w:val="none"/>
                <w:lang w:val="en-US" w:eastAsia="zh-CN"/>
              </w:rPr>
            </w:pPr>
            <w:r>
              <w:rPr>
                <w:rFonts w:hint="eastAsia" w:ascii="Times New Roman" w:hAnsi="Times New Roman" w:eastAsia="仿宋_GB2312" w:cs="Times New Roman"/>
                <w:color w:val="000000"/>
                <w:kern w:val="0"/>
                <w:szCs w:val="21"/>
                <w:highlight w:val="none"/>
                <w:lang w:val="en-US" w:eastAsia="zh-CN"/>
              </w:rPr>
              <w:t>125</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default" w:ascii="Times New Roman" w:hAnsi="Times New Roman" w:eastAsia="仿宋_GB2312" w:cs="Times New Roman"/>
                <w:color w:val="000000"/>
                <w:kern w:val="0"/>
                <w:szCs w:val="21"/>
                <w:highlight w:val="none"/>
                <w:lang w:val="en-US" w:eastAsia="zh-CN"/>
              </w:rPr>
            </w:pPr>
            <w:r>
              <w:rPr>
                <w:rFonts w:hint="eastAsia" w:ascii="Times New Roman" w:hAnsi="Times New Roman" w:eastAsia="仿宋_GB2312" w:cs="Times New Roman"/>
                <w:color w:val="000000"/>
                <w:kern w:val="0"/>
                <w:szCs w:val="21"/>
                <w:highlight w:val="none"/>
                <w:lang w:val="en-US" w:eastAsia="zh-CN"/>
              </w:rPr>
              <w:t>30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0</w:t>
            </w:r>
          </w:p>
        </w:tc>
      </w:tr>
    </w:tbl>
    <w:p>
      <w:pPr>
        <w:widowControl/>
        <w:jc w:val="left"/>
        <w:rPr>
          <w:rFonts w:hint="default" w:ascii="Times New Roman" w:hAnsi="Times New Roman" w:eastAsia="黑体" w:cs="Times New Roman"/>
          <w:color w:val="000000"/>
          <w:kern w:val="0"/>
          <w:sz w:val="32"/>
          <w:szCs w:val="32"/>
        </w:rPr>
      </w:pP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收到和处理政府信息公开申请情况</w:t>
      </w:r>
    </w:p>
    <w:tbl>
      <w:tblPr>
        <w:tblStyle w:val="4"/>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tcBorders>
              <w:top w:val="single" w:color="auto" w:sz="8" w:space="0"/>
            </w:tcBorders>
            <w:noWrap w:val="0"/>
            <w:tcMar>
              <w:left w:w="108" w:type="dxa"/>
              <w:right w:w="108" w:type="dxa"/>
            </w:tcMar>
            <w:vAlign w:val="center"/>
          </w:tcPr>
          <w:p>
            <w:pPr>
              <w:widowControl/>
              <w:jc w:val="center"/>
              <w:rPr>
                <w:rFonts w:hint="default" w:ascii="Times New Roman" w:hAnsi="Times New Roman" w:eastAsia="楷体_GB2312" w:cs="Times New Roman"/>
                <w:kern w:val="0"/>
                <w:szCs w:val="21"/>
              </w:rPr>
            </w:pPr>
            <w:r>
              <w:rPr>
                <w:rFonts w:hint="default" w:ascii="Times New Roman" w:hAnsi="Times New Roman" w:eastAsia="楷体_GB2312" w:cs="Times New Roman"/>
                <w:kern w:val="0"/>
                <w:szCs w:val="21"/>
              </w:rPr>
              <w:t>（本列数据的勾稽关系为：第一项加第二项之和，</w:t>
            </w:r>
          </w:p>
          <w:p>
            <w:pPr>
              <w:widowControl/>
              <w:jc w:val="center"/>
              <w:rPr>
                <w:rFonts w:hint="default" w:ascii="Times New Roman" w:hAnsi="Times New Roman" w:eastAsia="仿宋_GB2312" w:cs="Times New Roman"/>
                <w:szCs w:val="21"/>
              </w:rPr>
            </w:pPr>
            <w:r>
              <w:rPr>
                <w:rFonts w:hint="default" w:ascii="Times New Roman" w:hAnsi="Times New Roman" w:eastAsia="楷体_GB2312" w:cs="Times New Roman"/>
                <w:kern w:val="0"/>
                <w:szCs w:val="21"/>
              </w:rPr>
              <w:t>等于第三项加第四项之和）</w:t>
            </w:r>
          </w:p>
        </w:tc>
        <w:tc>
          <w:tcPr>
            <w:tcW w:w="4820" w:type="dxa"/>
            <w:gridSpan w:val="7"/>
            <w:tcBorders>
              <w:top w:val="single" w:color="auto" w:sz="8" w:space="0"/>
            </w:tcBorders>
            <w:noWrap w:val="0"/>
            <w:tcMar>
              <w:left w:w="108" w:type="dxa"/>
              <w:right w:w="108" w:type="dxa"/>
            </w:tcMar>
            <w:vAlign w:val="center"/>
          </w:tcPr>
          <w:p>
            <w:pPr>
              <w:widowControl/>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noWrap w:val="0"/>
            <w:tcMar>
              <w:left w:w="108" w:type="dxa"/>
              <w:right w:w="108" w:type="dxa"/>
            </w:tcMar>
            <w:vAlign w:val="center"/>
          </w:tcPr>
          <w:p>
            <w:pPr>
              <w:jc w:val="center"/>
              <w:rPr>
                <w:rFonts w:hint="default" w:ascii="Times New Roman" w:hAnsi="Times New Roman" w:eastAsia="仿宋_GB2312" w:cs="Times New Roman"/>
                <w:szCs w:val="21"/>
              </w:rPr>
            </w:pPr>
          </w:p>
        </w:tc>
        <w:tc>
          <w:tcPr>
            <w:tcW w:w="829" w:type="dxa"/>
            <w:vMerge w:val="restart"/>
            <w:noWrap w:val="0"/>
            <w:tcMar>
              <w:left w:w="108" w:type="dxa"/>
              <w:right w:w="108" w:type="dxa"/>
            </w:tcMar>
            <w:vAlign w:val="center"/>
          </w:tcPr>
          <w:p>
            <w:pPr>
              <w:widowControl/>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自然人</w:t>
            </w:r>
          </w:p>
        </w:tc>
        <w:tc>
          <w:tcPr>
            <w:tcW w:w="3140" w:type="dxa"/>
            <w:gridSpan w:val="5"/>
            <w:noWrap w:val="0"/>
            <w:tcMar>
              <w:left w:w="108" w:type="dxa"/>
              <w:right w:w="108" w:type="dxa"/>
            </w:tcMar>
            <w:vAlign w:val="center"/>
          </w:tcPr>
          <w:p>
            <w:pPr>
              <w:widowControl/>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法人或其他组织</w:t>
            </w:r>
          </w:p>
        </w:tc>
        <w:tc>
          <w:tcPr>
            <w:tcW w:w="851" w:type="dxa"/>
            <w:vMerge w:val="restart"/>
            <w:noWrap w:val="0"/>
            <w:tcMar>
              <w:left w:w="108" w:type="dxa"/>
              <w:right w:w="108" w:type="dxa"/>
            </w:tcMar>
            <w:vAlign w:val="center"/>
          </w:tcPr>
          <w:p>
            <w:pPr>
              <w:widowControl/>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noWrap w:val="0"/>
            <w:tcMar>
              <w:left w:w="108" w:type="dxa"/>
              <w:right w:w="108" w:type="dxa"/>
            </w:tcMar>
            <w:vAlign w:val="center"/>
          </w:tcPr>
          <w:p>
            <w:pPr>
              <w:jc w:val="center"/>
              <w:rPr>
                <w:rFonts w:hint="default" w:ascii="Times New Roman" w:hAnsi="Times New Roman" w:eastAsia="仿宋_GB2312" w:cs="Times New Roman"/>
                <w:szCs w:val="21"/>
              </w:rPr>
            </w:pPr>
          </w:p>
        </w:tc>
        <w:tc>
          <w:tcPr>
            <w:tcW w:w="829" w:type="dxa"/>
            <w:vMerge w:val="continue"/>
            <w:noWrap w:val="0"/>
            <w:tcMar>
              <w:left w:w="108" w:type="dxa"/>
              <w:right w:w="108" w:type="dxa"/>
            </w:tcMar>
            <w:vAlign w:val="center"/>
          </w:tcPr>
          <w:p>
            <w:pPr>
              <w:jc w:val="center"/>
              <w:rPr>
                <w:rFonts w:hint="default" w:ascii="Times New Roman" w:hAnsi="Times New Roman" w:eastAsia="黑体" w:cs="Times New Roman"/>
                <w:szCs w:val="21"/>
              </w:rPr>
            </w:pPr>
          </w:p>
        </w:tc>
        <w:tc>
          <w:tcPr>
            <w:tcW w:w="567" w:type="dxa"/>
            <w:noWrap w:val="0"/>
            <w:tcMar>
              <w:left w:w="108" w:type="dxa"/>
              <w:right w:w="108" w:type="dxa"/>
            </w:tcMar>
            <w:vAlign w:val="center"/>
          </w:tcPr>
          <w:p>
            <w:pPr>
              <w:widowControl/>
              <w:spacing w:line="320" w:lineRule="exact"/>
              <w:ind w:left="-106" w:leftChars="-51" w:right="-107" w:rightChars="-51" w:hanging="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商业企业</w:t>
            </w:r>
          </w:p>
        </w:tc>
        <w:tc>
          <w:tcPr>
            <w:tcW w:w="567" w:type="dxa"/>
            <w:noWrap w:val="0"/>
            <w:tcMar>
              <w:left w:w="108" w:type="dxa"/>
              <w:right w:w="108" w:type="dxa"/>
            </w:tcMar>
            <w:vAlign w:val="center"/>
          </w:tcPr>
          <w:p>
            <w:pPr>
              <w:widowControl/>
              <w:spacing w:line="320" w:lineRule="exact"/>
              <w:ind w:left="-107" w:leftChars="-51" w:right="-10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科研机构</w:t>
            </w:r>
          </w:p>
        </w:tc>
        <w:tc>
          <w:tcPr>
            <w:tcW w:w="731" w:type="dxa"/>
            <w:noWrap w:val="0"/>
            <w:tcMar>
              <w:left w:w="108" w:type="dxa"/>
              <w:right w:w="108" w:type="dxa"/>
            </w:tcMar>
            <w:vAlign w:val="center"/>
          </w:tcPr>
          <w:p>
            <w:pPr>
              <w:widowControl/>
              <w:spacing w:line="320" w:lineRule="exact"/>
              <w:ind w:left="-107" w:leftChars="-51" w:right="-10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社会公益组织</w:t>
            </w:r>
          </w:p>
        </w:tc>
        <w:tc>
          <w:tcPr>
            <w:tcW w:w="708" w:type="dxa"/>
            <w:noWrap w:val="0"/>
            <w:tcMar>
              <w:left w:w="108" w:type="dxa"/>
              <w:right w:w="108" w:type="dxa"/>
            </w:tcMar>
            <w:vAlign w:val="center"/>
          </w:tcPr>
          <w:p>
            <w:pPr>
              <w:widowControl/>
              <w:spacing w:line="320" w:lineRule="exact"/>
              <w:ind w:left="-106" w:leftChars="-51" w:right="-107" w:rightChars="-51" w:hanging="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法律服务机构</w:t>
            </w:r>
          </w:p>
        </w:tc>
        <w:tc>
          <w:tcPr>
            <w:tcW w:w="567" w:type="dxa"/>
            <w:noWrap w:val="0"/>
            <w:tcMar>
              <w:left w:w="108" w:type="dxa"/>
              <w:right w:w="108" w:type="dxa"/>
            </w:tcMar>
            <w:vAlign w:val="center"/>
          </w:tcPr>
          <w:p>
            <w:pPr>
              <w:widowControl/>
              <w:spacing w:line="360" w:lineRule="exact"/>
              <w:ind w:left="-63" w:leftChars="-30" w:right="-134" w:rightChars="-64"/>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其他</w:t>
            </w:r>
          </w:p>
        </w:tc>
        <w:tc>
          <w:tcPr>
            <w:tcW w:w="851" w:type="dxa"/>
            <w:vMerge w:val="continue"/>
            <w:noWrap w:val="0"/>
            <w:tcMar>
              <w:left w:w="108" w:type="dxa"/>
              <w:right w:w="108" w:type="dxa"/>
            </w:tcMar>
            <w:vAlign w:val="center"/>
          </w:tcPr>
          <w:p>
            <w:pPr>
              <w:jc w:val="center"/>
              <w:rPr>
                <w:rFonts w:hint="default" w:ascii="Times New Roman"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一、</w:t>
            </w:r>
            <w:bookmarkStart w:id="0" w:name="_Hlk66973412"/>
            <w:r>
              <w:rPr>
                <w:rFonts w:hint="default" w:ascii="Times New Roman" w:hAnsi="Times New Roman" w:eastAsia="黑体" w:cs="Times New Roman"/>
                <w:kern w:val="0"/>
                <w:szCs w:val="21"/>
              </w:rPr>
              <w:t>本年新收政府信息公开申请数量</w:t>
            </w:r>
            <w:bookmarkEnd w:id="0"/>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二、上年结转政府信息公开申请数量</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noWrap w:val="0"/>
            <w:tcMar>
              <w:left w:w="108" w:type="dxa"/>
              <w:right w:w="108" w:type="dxa"/>
            </w:tcMar>
            <w:vAlign w:val="center"/>
          </w:tcPr>
          <w:p>
            <w:pPr>
              <w:widowControl/>
              <w:spacing w:after="180"/>
              <w:rPr>
                <w:rFonts w:hint="default" w:ascii="Times New Roman" w:hAnsi="Times New Roman" w:eastAsia="黑体" w:cs="Times New Roman"/>
                <w:szCs w:val="21"/>
              </w:rPr>
            </w:pPr>
            <w:r>
              <w:rPr>
                <w:rFonts w:hint="default" w:ascii="Times New Roman" w:hAnsi="Times New Roman" w:eastAsia="黑体" w:cs="Times New Roman"/>
                <w:kern w:val="0"/>
                <w:szCs w:val="21"/>
              </w:rPr>
              <w:t>三、本年度办理结果</w:t>
            </w:r>
          </w:p>
        </w:tc>
        <w:tc>
          <w:tcPr>
            <w:tcW w:w="4677" w:type="dxa"/>
            <w:gridSpan w:val="2"/>
            <w:noWrap w:val="0"/>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（一）予以公开</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hint="default" w:ascii="Times New Roman" w:hAnsi="Times New Roman" w:eastAsia="黑体" w:cs="Times New Roman"/>
                <w:szCs w:val="21"/>
              </w:rPr>
            </w:pPr>
          </w:p>
        </w:tc>
        <w:tc>
          <w:tcPr>
            <w:tcW w:w="4677" w:type="dxa"/>
            <w:gridSpan w:val="2"/>
            <w:noWrap w:val="0"/>
            <w:tcMar>
              <w:left w:w="108" w:type="dxa"/>
              <w:right w:w="108" w:type="dxa"/>
            </w:tcMar>
            <w:vAlign w:val="center"/>
          </w:tcPr>
          <w:p>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（二）部分公开（</w:t>
            </w:r>
            <w:bookmarkStart w:id="1" w:name="_Hlk66973981"/>
            <w:r>
              <w:rPr>
                <w:rFonts w:hint="default" w:ascii="Times New Roman" w:hAnsi="Times New Roman" w:eastAsia="黑体" w:cs="Times New Roman"/>
                <w:kern w:val="0"/>
                <w:szCs w:val="21"/>
              </w:rPr>
              <w:t>区分处理的，只计这一情形，不计其他情形</w:t>
            </w:r>
            <w:bookmarkEnd w:id="1"/>
            <w:r>
              <w:rPr>
                <w:rFonts w:hint="default" w:ascii="Times New Roman" w:hAnsi="Times New Roman" w:eastAsia="黑体" w:cs="Times New Roman"/>
                <w:kern w:val="0"/>
                <w:szCs w:val="21"/>
              </w:rPr>
              <w:t>）</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hint="default" w:ascii="Times New Roman" w:hAnsi="Times New Roman" w:eastAsia="黑体" w:cs="Times New Roman"/>
                <w:szCs w:val="21"/>
              </w:rPr>
            </w:pPr>
          </w:p>
        </w:tc>
        <w:tc>
          <w:tcPr>
            <w:tcW w:w="1701" w:type="dxa"/>
            <w:vMerge w:val="restart"/>
            <w:noWrap w:val="0"/>
            <w:tcMar>
              <w:left w:w="108" w:type="dxa"/>
              <w:right w:w="108" w:type="dxa"/>
            </w:tcMar>
            <w:vAlign w:val="center"/>
          </w:tcPr>
          <w:p>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（三）不予公开</w:t>
            </w:r>
          </w:p>
        </w:tc>
        <w:tc>
          <w:tcPr>
            <w:tcW w:w="2976" w:type="dxa"/>
            <w:noWrap w:val="0"/>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1.属于国家秘密</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hint="default" w:ascii="Times New Roman" w:hAnsi="Times New Roman" w:eastAsia="黑体" w:cs="Times New Roman"/>
                <w:szCs w:val="21"/>
              </w:rPr>
            </w:pPr>
          </w:p>
        </w:tc>
        <w:tc>
          <w:tcPr>
            <w:tcW w:w="1701" w:type="dxa"/>
            <w:vMerge w:val="continue"/>
            <w:noWrap w:val="0"/>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noWrap w:val="0"/>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2" w:name="_Hlk66974104"/>
            <w:r>
              <w:rPr>
                <w:rFonts w:hint="default" w:ascii="Times New Roman" w:hAnsi="Times New Roman" w:eastAsia="仿宋_GB2312" w:cs="Times New Roman"/>
                <w:kern w:val="0"/>
                <w:szCs w:val="21"/>
              </w:rPr>
              <w:t>其他法律行政法规禁止公开</w:t>
            </w:r>
            <w:bookmarkEnd w:id="2"/>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hint="default" w:ascii="Times New Roman" w:hAnsi="Times New Roman" w:eastAsia="黑体" w:cs="Times New Roman"/>
                <w:szCs w:val="21"/>
              </w:rPr>
            </w:pPr>
          </w:p>
        </w:tc>
        <w:tc>
          <w:tcPr>
            <w:tcW w:w="1701" w:type="dxa"/>
            <w:vMerge w:val="continue"/>
            <w:noWrap w:val="0"/>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noWrap w:val="0"/>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3.危及“三安全一稳定”</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hint="default" w:ascii="Times New Roman" w:hAnsi="Times New Roman" w:eastAsia="黑体" w:cs="Times New Roman"/>
                <w:szCs w:val="21"/>
              </w:rPr>
            </w:pPr>
          </w:p>
        </w:tc>
        <w:tc>
          <w:tcPr>
            <w:tcW w:w="1701" w:type="dxa"/>
            <w:vMerge w:val="continue"/>
            <w:noWrap w:val="0"/>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noWrap w:val="0"/>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w:t>
            </w:r>
            <w:bookmarkStart w:id="3" w:name="_Hlk66974290"/>
            <w:r>
              <w:rPr>
                <w:rFonts w:hint="default" w:ascii="Times New Roman" w:hAnsi="Times New Roman" w:eastAsia="仿宋_GB2312" w:cs="Times New Roman"/>
                <w:kern w:val="0"/>
                <w:szCs w:val="21"/>
              </w:rPr>
              <w:t>保护第三方合法权益</w:t>
            </w:r>
            <w:bookmarkEnd w:id="3"/>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hint="default" w:ascii="Times New Roman" w:hAnsi="Times New Roman" w:eastAsia="黑体" w:cs="Times New Roman"/>
                <w:szCs w:val="21"/>
              </w:rPr>
            </w:pPr>
          </w:p>
        </w:tc>
        <w:tc>
          <w:tcPr>
            <w:tcW w:w="1701" w:type="dxa"/>
            <w:vMerge w:val="continue"/>
            <w:noWrap w:val="0"/>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noWrap w:val="0"/>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5.属于三类内部事务信息</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hint="default" w:ascii="Times New Roman" w:hAnsi="Times New Roman" w:eastAsia="黑体" w:cs="Times New Roman"/>
                <w:szCs w:val="21"/>
              </w:rPr>
            </w:pPr>
          </w:p>
        </w:tc>
        <w:tc>
          <w:tcPr>
            <w:tcW w:w="1701" w:type="dxa"/>
            <w:vMerge w:val="continue"/>
            <w:noWrap w:val="0"/>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noWrap w:val="0"/>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w:t>
            </w:r>
            <w:bookmarkStart w:id="4" w:name="_Hlk66974555"/>
            <w:r>
              <w:rPr>
                <w:rFonts w:hint="default" w:ascii="Times New Roman" w:hAnsi="Times New Roman" w:eastAsia="仿宋_GB2312" w:cs="Times New Roman"/>
                <w:kern w:val="0"/>
                <w:szCs w:val="21"/>
              </w:rPr>
              <w:t>属于四类过程性信息</w:t>
            </w:r>
            <w:bookmarkEnd w:id="4"/>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hint="default" w:ascii="Times New Roman" w:hAnsi="Times New Roman" w:eastAsia="黑体" w:cs="Times New Roman"/>
                <w:szCs w:val="21"/>
              </w:rPr>
            </w:pPr>
          </w:p>
        </w:tc>
        <w:tc>
          <w:tcPr>
            <w:tcW w:w="1701" w:type="dxa"/>
            <w:vMerge w:val="continue"/>
            <w:noWrap w:val="0"/>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noWrap w:val="0"/>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7.属于行政执法案卷</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hint="default" w:ascii="Times New Roman" w:hAnsi="Times New Roman" w:eastAsia="黑体" w:cs="Times New Roman"/>
                <w:szCs w:val="21"/>
              </w:rPr>
            </w:pPr>
          </w:p>
        </w:tc>
        <w:tc>
          <w:tcPr>
            <w:tcW w:w="1701" w:type="dxa"/>
            <w:vMerge w:val="continue"/>
            <w:noWrap w:val="0"/>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noWrap w:val="0"/>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w:t>
            </w:r>
            <w:bookmarkStart w:id="5" w:name="_Hlk66975211"/>
            <w:r>
              <w:rPr>
                <w:rFonts w:hint="default" w:ascii="Times New Roman" w:hAnsi="Times New Roman" w:eastAsia="仿宋_GB2312" w:cs="Times New Roman"/>
                <w:kern w:val="0"/>
                <w:szCs w:val="21"/>
              </w:rPr>
              <w:t>属于行政查询事项</w:t>
            </w:r>
            <w:bookmarkEnd w:id="5"/>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hint="default" w:ascii="Times New Roman" w:hAnsi="Times New Roman" w:eastAsia="黑体" w:cs="Times New Roman"/>
                <w:szCs w:val="21"/>
              </w:rPr>
            </w:pPr>
          </w:p>
        </w:tc>
        <w:tc>
          <w:tcPr>
            <w:tcW w:w="1701" w:type="dxa"/>
            <w:vMerge w:val="restart"/>
            <w:noWrap w:val="0"/>
            <w:tcMar>
              <w:left w:w="108" w:type="dxa"/>
              <w:right w:w="108" w:type="dxa"/>
            </w:tcMar>
            <w:vAlign w:val="center"/>
          </w:tcPr>
          <w:p>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（四）无法提供</w:t>
            </w:r>
          </w:p>
        </w:tc>
        <w:tc>
          <w:tcPr>
            <w:tcW w:w="2976" w:type="dxa"/>
            <w:noWrap w:val="0"/>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1.本机关不掌握相关政府信息</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hint="default" w:ascii="Times New Roman" w:hAnsi="Times New Roman" w:eastAsia="黑体" w:cs="Times New Roman"/>
                <w:szCs w:val="21"/>
              </w:rPr>
            </w:pPr>
          </w:p>
        </w:tc>
        <w:tc>
          <w:tcPr>
            <w:tcW w:w="1701" w:type="dxa"/>
            <w:vMerge w:val="continue"/>
            <w:noWrap w:val="0"/>
            <w:tcMar>
              <w:left w:w="108" w:type="dxa"/>
              <w:right w:w="108" w:type="dxa"/>
            </w:tcMar>
            <w:vAlign w:val="center"/>
          </w:tcPr>
          <w:p>
            <w:pPr>
              <w:spacing w:line="200" w:lineRule="exact"/>
              <w:ind w:left="-107" w:leftChars="-51"/>
              <w:rPr>
                <w:rFonts w:hint="default" w:ascii="Times New Roman" w:hAnsi="Times New Roman" w:eastAsia="黑体" w:cs="Times New Roman"/>
                <w:szCs w:val="21"/>
              </w:rPr>
            </w:pPr>
          </w:p>
        </w:tc>
        <w:tc>
          <w:tcPr>
            <w:tcW w:w="2976" w:type="dxa"/>
            <w:noWrap w:val="0"/>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6" w:name="_Hlk66975392"/>
            <w:r>
              <w:rPr>
                <w:rFonts w:hint="default" w:ascii="Times New Roman" w:hAnsi="Times New Roman" w:eastAsia="仿宋_GB2312" w:cs="Times New Roman"/>
                <w:kern w:val="0"/>
                <w:szCs w:val="21"/>
              </w:rPr>
              <w:t>没有现成信息需要另行制作</w:t>
            </w:r>
            <w:bookmarkEnd w:id="6"/>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hint="default" w:ascii="Times New Roman" w:hAnsi="Times New Roman" w:eastAsia="黑体" w:cs="Times New Roman"/>
                <w:szCs w:val="21"/>
              </w:rPr>
            </w:pPr>
          </w:p>
        </w:tc>
        <w:tc>
          <w:tcPr>
            <w:tcW w:w="1701" w:type="dxa"/>
            <w:vMerge w:val="continue"/>
            <w:noWrap w:val="0"/>
            <w:tcMar>
              <w:left w:w="108" w:type="dxa"/>
              <w:right w:w="108" w:type="dxa"/>
            </w:tcMar>
            <w:vAlign w:val="center"/>
          </w:tcPr>
          <w:p>
            <w:pPr>
              <w:spacing w:line="200" w:lineRule="exact"/>
              <w:ind w:left="-107" w:leftChars="-51"/>
              <w:rPr>
                <w:rFonts w:hint="default" w:ascii="Times New Roman" w:hAnsi="Times New Roman" w:eastAsia="黑体" w:cs="Times New Roman"/>
                <w:szCs w:val="21"/>
              </w:rPr>
            </w:pPr>
          </w:p>
        </w:tc>
        <w:tc>
          <w:tcPr>
            <w:tcW w:w="2976" w:type="dxa"/>
            <w:noWrap w:val="0"/>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bookmarkStart w:id="7" w:name="_Hlk66975466"/>
            <w:r>
              <w:rPr>
                <w:rFonts w:hint="default" w:ascii="Times New Roman" w:hAnsi="Times New Roman" w:eastAsia="仿宋_GB2312" w:cs="Times New Roman"/>
                <w:kern w:val="0"/>
                <w:szCs w:val="21"/>
              </w:rPr>
              <w:t>补正后申请内容仍不明确</w:t>
            </w:r>
            <w:bookmarkEnd w:id="7"/>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hint="default" w:ascii="Times New Roman" w:hAnsi="Times New Roman" w:eastAsia="黑体" w:cs="Times New Roman"/>
                <w:szCs w:val="21"/>
              </w:rPr>
            </w:pPr>
          </w:p>
        </w:tc>
        <w:tc>
          <w:tcPr>
            <w:tcW w:w="1701" w:type="dxa"/>
            <w:vMerge w:val="restart"/>
            <w:noWrap w:val="0"/>
            <w:tcMar>
              <w:left w:w="108" w:type="dxa"/>
              <w:right w:w="108" w:type="dxa"/>
            </w:tcMar>
            <w:vAlign w:val="center"/>
          </w:tcPr>
          <w:p>
            <w:pPr>
              <w:widowControl/>
              <w:spacing w:line="200" w:lineRule="exact"/>
              <w:ind w:left="-10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（五）不予处理</w:t>
            </w:r>
          </w:p>
        </w:tc>
        <w:tc>
          <w:tcPr>
            <w:tcW w:w="2976" w:type="dxa"/>
            <w:noWrap w:val="0"/>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bookmarkStart w:id="8" w:name="_Hlk66975537"/>
            <w:r>
              <w:rPr>
                <w:rFonts w:hint="default" w:ascii="Times New Roman" w:hAnsi="Times New Roman" w:eastAsia="仿宋_GB2312" w:cs="Times New Roman"/>
                <w:kern w:val="0"/>
                <w:szCs w:val="21"/>
              </w:rPr>
              <w:t>信访举报投诉类申请</w:t>
            </w:r>
            <w:bookmarkEnd w:id="8"/>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hint="default" w:ascii="Times New Roman" w:hAnsi="Times New Roman" w:eastAsia="黑体" w:cs="Times New Roman"/>
                <w:szCs w:val="21"/>
              </w:rPr>
            </w:pPr>
          </w:p>
        </w:tc>
        <w:tc>
          <w:tcPr>
            <w:tcW w:w="1701" w:type="dxa"/>
            <w:vMerge w:val="continue"/>
            <w:noWrap w:val="0"/>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noWrap w:val="0"/>
            <w:tcMar>
              <w:left w:w="108" w:type="dxa"/>
              <w:right w:w="108" w:type="dxa"/>
            </w:tcMar>
            <w:vAlign w:val="center"/>
          </w:tcPr>
          <w:p>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2.重复申请</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hint="default" w:ascii="Times New Roman" w:hAnsi="Times New Roman" w:eastAsia="黑体" w:cs="Times New Roman"/>
                <w:szCs w:val="21"/>
              </w:rPr>
            </w:pPr>
          </w:p>
        </w:tc>
        <w:tc>
          <w:tcPr>
            <w:tcW w:w="1701" w:type="dxa"/>
            <w:vMerge w:val="continue"/>
            <w:noWrap w:val="0"/>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noWrap w:val="0"/>
            <w:tcMar>
              <w:left w:w="108" w:type="dxa"/>
              <w:right w:w="108" w:type="dxa"/>
            </w:tcMar>
            <w:vAlign w:val="center"/>
          </w:tcPr>
          <w:p>
            <w:pPr>
              <w:widowControl/>
              <w:spacing w:line="200" w:lineRule="exac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3.要求提供公开出版物</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noWrap w:val="0"/>
            <w:tcMar>
              <w:left w:w="108" w:type="dxa"/>
              <w:right w:w="108" w:type="dxa"/>
            </w:tcMar>
            <w:vAlign w:val="center"/>
          </w:tcPr>
          <w:p>
            <w:pPr>
              <w:rPr>
                <w:rFonts w:hint="default" w:ascii="Times New Roman" w:hAnsi="Times New Roman" w:eastAsia="黑体" w:cs="Times New Roman"/>
                <w:szCs w:val="21"/>
              </w:rPr>
            </w:pPr>
          </w:p>
        </w:tc>
        <w:tc>
          <w:tcPr>
            <w:tcW w:w="1701" w:type="dxa"/>
            <w:vMerge w:val="continue"/>
            <w:noWrap w:val="0"/>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noWrap w:val="0"/>
            <w:tcMar>
              <w:left w:w="108" w:type="dxa"/>
              <w:right w:w="108" w:type="dxa"/>
            </w:tcMar>
            <w:vAlign w:val="center"/>
          </w:tcPr>
          <w:p>
            <w:pPr>
              <w:widowControl/>
              <w:spacing w:line="200" w:lineRule="exac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4.无正当理由大量反复申请</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hint="default" w:ascii="Times New Roman" w:hAnsi="Times New Roman" w:eastAsia="黑体" w:cs="Times New Roman"/>
                <w:szCs w:val="21"/>
              </w:rPr>
            </w:pPr>
          </w:p>
        </w:tc>
        <w:tc>
          <w:tcPr>
            <w:tcW w:w="1701" w:type="dxa"/>
            <w:vMerge w:val="continue"/>
            <w:noWrap w:val="0"/>
            <w:tcMar>
              <w:left w:w="108" w:type="dxa"/>
              <w:right w:w="108" w:type="dxa"/>
            </w:tcMar>
            <w:vAlign w:val="center"/>
          </w:tcPr>
          <w:p>
            <w:pPr>
              <w:spacing w:line="200" w:lineRule="exact"/>
              <w:rPr>
                <w:rFonts w:hint="default" w:ascii="Times New Roman" w:hAnsi="Times New Roman" w:eastAsia="黑体" w:cs="Times New Roman"/>
                <w:szCs w:val="21"/>
              </w:rPr>
            </w:pPr>
          </w:p>
        </w:tc>
        <w:tc>
          <w:tcPr>
            <w:tcW w:w="2976" w:type="dxa"/>
            <w:noWrap w:val="0"/>
            <w:tcMar>
              <w:left w:w="108" w:type="dxa"/>
              <w:right w:w="108" w:type="dxa"/>
            </w:tcMar>
            <w:vAlign w:val="center"/>
          </w:tcPr>
          <w:p>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5.要求行政机关确认或重新</w:t>
            </w:r>
          </w:p>
          <w:p>
            <w:pPr>
              <w:widowControl/>
              <w:spacing w:line="300" w:lineRule="exact"/>
              <w:ind w:firstLine="210" w:firstLineChars="100"/>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出具已获取信息</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hint="default" w:ascii="Times New Roman" w:hAnsi="Times New Roman" w:eastAsia="黑体" w:cs="Times New Roman"/>
                <w:szCs w:val="21"/>
              </w:rPr>
            </w:pPr>
          </w:p>
        </w:tc>
        <w:tc>
          <w:tcPr>
            <w:tcW w:w="1701" w:type="dxa"/>
            <w:vMerge w:val="restart"/>
            <w:noWrap w:val="0"/>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（六）其他处理</w:t>
            </w:r>
          </w:p>
        </w:tc>
        <w:tc>
          <w:tcPr>
            <w:tcW w:w="2976" w:type="dxa"/>
            <w:noWrap w:val="0"/>
            <w:vAlign w:val="center"/>
          </w:tcPr>
          <w:p>
            <w:pPr>
              <w:widowControl/>
              <w:spacing w:line="300" w:lineRule="exact"/>
              <w:rPr>
                <w:rFonts w:hint="default" w:ascii="Times New Roman" w:hAnsi="Times New Roman" w:eastAsia="仿宋_GB2312" w:cs="Times New Roman"/>
              </w:rPr>
            </w:pPr>
            <w:r>
              <w:rPr>
                <w:rFonts w:hint="default" w:ascii="Times New Roman" w:hAnsi="Times New Roman" w:eastAsia="仿宋_GB2312" w:cs="Times New Roman"/>
              </w:rPr>
              <w:t>1.申请人无正当理由逾期不补正、行政机关不再处理其政府信息公开申请</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hint="default" w:ascii="Times New Roman" w:hAnsi="Times New Roman" w:eastAsia="黑体" w:cs="Times New Roman"/>
                <w:szCs w:val="21"/>
              </w:rPr>
            </w:pPr>
          </w:p>
        </w:tc>
        <w:tc>
          <w:tcPr>
            <w:tcW w:w="1701" w:type="dxa"/>
            <w:vMerge w:val="continue"/>
            <w:noWrap w:val="0"/>
            <w:tcMar>
              <w:left w:w="108" w:type="dxa"/>
              <w:right w:w="108" w:type="dxa"/>
            </w:tcMar>
            <w:vAlign w:val="center"/>
          </w:tcPr>
          <w:p>
            <w:pPr>
              <w:widowControl/>
              <w:spacing w:line="300" w:lineRule="exact"/>
              <w:rPr>
                <w:rFonts w:hint="default" w:ascii="Times New Roman" w:hAnsi="Times New Roman" w:eastAsia="黑体" w:cs="Times New Roman"/>
                <w:kern w:val="0"/>
                <w:szCs w:val="21"/>
              </w:rPr>
            </w:pPr>
          </w:p>
        </w:tc>
        <w:tc>
          <w:tcPr>
            <w:tcW w:w="2976" w:type="dxa"/>
            <w:noWrap w:val="0"/>
            <w:vAlign w:val="center"/>
          </w:tcPr>
          <w:p>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rPr>
              <w:t>2.申请人逾期未按收费通知要求缴纳费用、行政机关不再处理其政府信息公开申请</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hint="default" w:ascii="Times New Roman" w:hAnsi="Times New Roman" w:eastAsia="黑体" w:cs="Times New Roman"/>
                <w:szCs w:val="21"/>
              </w:rPr>
            </w:pPr>
          </w:p>
        </w:tc>
        <w:tc>
          <w:tcPr>
            <w:tcW w:w="1701" w:type="dxa"/>
            <w:vMerge w:val="continue"/>
            <w:noWrap w:val="0"/>
            <w:tcMar>
              <w:left w:w="108" w:type="dxa"/>
              <w:right w:w="108" w:type="dxa"/>
            </w:tcMar>
            <w:vAlign w:val="center"/>
          </w:tcPr>
          <w:p>
            <w:pPr>
              <w:widowControl/>
              <w:spacing w:line="300" w:lineRule="exact"/>
              <w:rPr>
                <w:rFonts w:hint="default" w:ascii="Times New Roman" w:hAnsi="Times New Roman" w:eastAsia="黑体" w:cs="Times New Roman"/>
                <w:kern w:val="0"/>
                <w:szCs w:val="21"/>
              </w:rPr>
            </w:pPr>
          </w:p>
        </w:tc>
        <w:tc>
          <w:tcPr>
            <w:tcW w:w="2976" w:type="dxa"/>
            <w:noWrap w:val="0"/>
            <w:vAlign w:val="center"/>
          </w:tcPr>
          <w:p>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rPr>
              <w:t>3.其他</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hint="default" w:ascii="Times New Roman" w:hAnsi="Times New Roman" w:eastAsia="黑体" w:cs="Times New Roman"/>
                <w:szCs w:val="21"/>
              </w:rPr>
            </w:pPr>
          </w:p>
        </w:tc>
        <w:tc>
          <w:tcPr>
            <w:tcW w:w="4677" w:type="dxa"/>
            <w:gridSpan w:val="2"/>
            <w:noWrap w:val="0"/>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（七）总计</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tcBorders>
              <w:bottom w:val="single" w:color="auto" w:sz="8" w:space="0"/>
            </w:tcBorders>
            <w:noWrap w:val="0"/>
            <w:tcMar>
              <w:left w:w="108" w:type="dxa"/>
              <w:right w:w="108" w:type="dxa"/>
            </w:tcMar>
            <w:vAlign w:val="center"/>
          </w:tcPr>
          <w:p>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四、结转下年度继续办理</w:t>
            </w:r>
          </w:p>
        </w:tc>
        <w:tc>
          <w:tcPr>
            <w:tcW w:w="829" w:type="dxa"/>
            <w:tcBorders>
              <w:bottom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Borders>
              <w:bottom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Borders>
              <w:bottom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31" w:type="dxa"/>
            <w:tcBorders>
              <w:bottom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708" w:type="dxa"/>
            <w:tcBorders>
              <w:bottom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567" w:type="dxa"/>
            <w:tcBorders>
              <w:bottom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851" w:type="dxa"/>
            <w:tcBorders>
              <w:bottom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r>
    </w:tbl>
    <w:p>
      <w:pPr>
        <w:widowControl/>
        <w:spacing w:line="560" w:lineRule="exact"/>
        <w:ind w:firstLine="400" w:firstLineChars="200"/>
        <w:jc w:val="left"/>
        <w:rPr>
          <w:rFonts w:hint="default" w:ascii="Times New Roman" w:hAnsi="Times New Roman" w:cs="Times New Roman"/>
          <w:color w:val="000000"/>
          <w:kern w:val="0"/>
          <w:sz w:val="20"/>
          <w:szCs w:val="20"/>
        </w:rPr>
      </w:pPr>
    </w:p>
    <w:p>
      <w:pPr>
        <w:widowControl/>
        <w:spacing w:line="560" w:lineRule="exact"/>
        <w:ind w:firstLine="640" w:firstLineChars="200"/>
        <w:jc w:val="left"/>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四、政府信息公开行政复议、行政诉讼情况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widowControl/>
              <w:ind w:left="-149" w:leftChars="-71" w:right="-170" w:rightChars="-8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ind w:left="-43" w:leftChars="-21" w:right="-132" w:rightChars="-63"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82" w:leftChars="-39" w:right="-97" w:rightChars="-4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18" w:leftChars="-56" w:right="-118" w:rightChars="-56"/>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widowControl/>
              <w:ind w:left="-118" w:leftChars="-56" w:right="-118" w:rightChars="-5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20" w:lineRule="exact"/>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总</w:t>
            </w:r>
          </w:p>
          <w:p>
            <w:pPr>
              <w:widowControl/>
              <w:spacing w:line="320" w:lineRule="exact"/>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eastAsia="黑体" w:cs="Times New Roman"/>
              </w:rPr>
            </w:pPr>
            <w:bookmarkStart w:id="9" w:name="_Hlk67039688"/>
            <w:r>
              <w:rPr>
                <w:rFonts w:hint="default" w:ascii="Times New Roman" w:hAnsi="Times New Roman" w:eastAsia="黑体" w:cs="Times New Roman"/>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黑体" w:cs="Times New Roman"/>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eastAsia="黑体" w:cs="Times New Roman"/>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ind w:left="-105" w:leftChars="-50" w:right="-126" w:rightChars="-60"/>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ind w:left="-86" w:leftChars="-41" w:right="-88" w:rightChars="-42"/>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26" w:leftChars="-60" w:right="-136" w:rightChars="-65"/>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widowControl/>
              <w:ind w:left="-126" w:leftChars="-60" w:right="-136" w:rightChars="-65"/>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64" w:leftChars="-78" w:right="-153" w:rightChars="-73"/>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widowControl/>
              <w:ind w:left="-164" w:leftChars="-78" w:right="-153" w:rightChars="-73"/>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99" w:leftChars="-47" w:right="-78" w:rightChars="-37"/>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36" w:leftChars="-65" w:right="-124" w:rightChars="-59"/>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widowControl/>
              <w:ind w:left="-136" w:leftChars="-65" w:right="-124" w:rightChars="-59"/>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73" w:leftChars="-83" w:right="-134" w:rightChars="-64" w:hanging="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widowControl/>
              <w:ind w:left="-173" w:leftChars="-83" w:right="-134" w:rightChars="-64"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67" w:leftChars="-33" w:right="-105" w:rightChars="-50" w:hanging="2" w:hangingChars="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rPr>
            </w:pPr>
            <w:r>
              <w:rPr>
                <w:rFonts w:hint="default" w:ascii="Times New Roman" w:hAnsi="Times New Roman" w:cs="Times New Roma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rPr>
            </w:pPr>
            <w:r>
              <w:rPr>
                <w:rFonts w:hint="default" w:ascii="Times New Roman" w:hAnsi="Times New Roman" w:cs="Times New Roma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rPr>
            </w:pPr>
            <w:r>
              <w:rPr>
                <w:rFonts w:hint="default" w:ascii="Times New Roman" w:hAnsi="Times New Roman" w:cs="Times New Roma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rPr>
            </w:pPr>
            <w:r>
              <w:rPr>
                <w:rFonts w:hint="default" w:ascii="Times New Roman" w:hAnsi="Times New Roman" w:cs="Times New Roma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rPr>
            </w:pPr>
            <w:r>
              <w:rPr>
                <w:rFonts w:hint="default" w:ascii="Times New Roman" w:hAnsi="Times New Roman" w:cs="Times New Roma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rPr>
            </w:pPr>
            <w:r>
              <w:rPr>
                <w:rFonts w:hint="default" w:ascii="Times New Roman" w:hAnsi="Times New Roman" w:cs="Times New Roma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rPr>
            </w:pPr>
            <w:r>
              <w:rPr>
                <w:rFonts w:hint="default" w:ascii="Times New Roman" w:hAnsi="Times New Roman" w:cs="Times New Roma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rPr>
            </w:pPr>
            <w:r>
              <w:rPr>
                <w:rFonts w:hint="default" w:ascii="Times New Roman" w:hAnsi="Times New Roman" w:cs="Times New Roma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rPr>
            </w:pPr>
            <w:r>
              <w:rPr>
                <w:rFonts w:hint="default" w:ascii="Times New Roman" w:hAnsi="Times New Roman" w:cs="Times New Roma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rPr>
            </w:pPr>
            <w:r>
              <w:rPr>
                <w:rFonts w:hint="default" w:ascii="Times New Roman" w:hAnsi="Times New Roman" w:cs="Times New Roma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rPr>
            </w:pPr>
            <w:r>
              <w:rPr>
                <w:rFonts w:hint="default" w:ascii="Times New Roman" w:hAnsi="Times New Roman" w:cs="Times New Roma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rPr>
            </w:pPr>
            <w:r>
              <w:rPr>
                <w:rFonts w:hint="default" w:ascii="Times New Roman" w:hAnsi="Times New Roman" w:cs="Times New Roma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rPr>
            </w:pPr>
            <w:r>
              <w:rPr>
                <w:rFonts w:hint="default" w:ascii="Times New Roman" w:hAnsi="Times New Roman" w:cs="Times New Roma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rPr>
            </w:pPr>
            <w:r>
              <w:rPr>
                <w:rFonts w:hint="default" w:ascii="Times New Roman" w:hAnsi="Times New Roman" w:cs="Times New Roman"/>
              </w:rPr>
              <w:t>0</w:t>
            </w:r>
          </w:p>
        </w:tc>
      </w:tr>
    </w:tbl>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五、存在的主要问题及改进情况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202</w:t>
      </w:r>
      <w:r>
        <w:rPr>
          <w:rFonts w:hint="eastAsia"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rPr>
        <w:t>年，</w:t>
      </w:r>
      <w:r>
        <w:rPr>
          <w:rFonts w:hint="eastAsia" w:ascii="Times New Roman" w:hAnsi="Times New Roman" w:eastAsia="仿宋_GB2312" w:cs="Times New Roman"/>
          <w:color w:val="000000"/>
          <w:kern w:val="0"/>
          <w:sz w:val="32"/>
          <w:szCs w:val="32"/>
          <w:lang w:val="en-US" w:eastAsia="zh-CN"/>
        </w:rPr>
        <w:t>我局</w:t>
      </w:r>
      <w:r>
        <w:rPr>
          <w:rFonts w:hint="default" w:ascii="Times New Roman" w:hAnsi="Times New Roman" w:eastAsia="仿宋_GB2312" w:cs="Times New Roman"/>
          <w:color w:val="000000"/>
          <w:kern w:val="0"/>
          <w:sz w:val="32"/>
          <w:szCs w:val="32"/>
        </w:rPr>
        <w:t>的政府信息与政务公开工作虽然取得了一定的成绩，但仍存在一些薄弱环节和不足。一是政务公开人员业务水平与工作需要还存在一定差距。虽然单位配备了兼职人员负责政务公开工作，但由于工作量大，工作人员往往身兼数职，无法全身心投入到政务公开工作中来。二是政策解读能力还需加强。市场监督管理工作面向社会，面向基层，面向群众，涉及到特种设备、工业产品、食品、药品、认证认可、检验检测、计量、标准、行政执法等广泛内容，与广大群众利益息息相关，但在政策解读力度上还不够、精细化水平还需提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下一步，我局将针对2022年度政务公开工作中存在的问题，逐项制定整改措施，逐一整改落实到位，切实提高政务公开工作水平。一是进一步提高认识。切实加强对《政府信息公开条例》的学习宣传，继续将政务公开作为本单位的工作重要内容，认真抓好抓落实，提高干部职工的思想认识，不断增强做好政务公开工作的责任感和使命感。二是</w:t>
      </w:r>
      <w:r>
        <w:rPr>
          <w:rFonts w:hint="eastAsia" w:ascii="Times New Roman" w:hAnsi="Times New Roman" w:eastAsia="仿宋_GB2312" w:cs="Times New Roman"/>
          <w:sz w:val="32"/>
          <w:szCs w:val="32"/>
          <w:lang w:val="en-US" w:eastAsia="zh-CN"/>
        </w:rPr>
        <w:t>进一步</w:t>
      </w:r>
      <w:r>
        <w:rPr>
          <w:rFonts w:hint="default" w:ascii="Times New Roman" w:hAnsi="Times New Roman" w:eastAsia="仿宋_GB2312" w:cs="Times New Roman"/>
          <w:sz w:val="32"/>
          <w:szCs w:val="32"/>
        </w:rPr>
        <w:t>充实公开内容。做好公开和免予公开两类信息的界定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按照《政府信息公开条例》等法规、规章、制度的规定，及时公开政务信息，公开内容做到真实、具体、全面。</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其他需要报告的事项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1.收取信息处理费情况方面。本年度政府信息公开申请未达到《政府信息公开信息处理费管理办法》（国办函〔2020〕109号）所规定的信息处理费收费标准，故未收取信息处理费。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落实上级年度政务公开工作要点情况。对照《枣庄市2022年政务公开政务公开工作要点》，围绕重点领域信息公开、政策发布解读与回应、政民互动、基层政务公开标准化规范化建设和工作保障和落实逐项明确责任主体和完成时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人大代表建议和政协提案办理情况方面。2022年，薛城区市场监督管理局共承办区政协委员提案7件，市级政协委员提案3件，其中主办3件、协办7件。内容涉及营商环境、食品安全、医疗美容、烟花爆竹、三轮车管控、职业打假等方面。2022年未收到人大代表建议。截至2022年底，所有政协提案均已办理并答复完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4.开展政务公开创新方面。区市场监管局持续推进各类市场主体列席政策指导培训会议，开展政府开放日活动。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5.本单位政府信息公开工作年度报告数据统计需要说明的事项：无</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6.其他有关文件专门要求通过政府信息公开工作年度报告予以报告的事项：无</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iCs w:val="0"/>
          <w:caps w:val="0"/>
          <w:color w:val="000000"/>
          <w:spacing w:val="0"/>
          <w:sz w:val="31"/>
          <w:szCs w:val="31"/>
          <w:shd w:val="clear" w:color="auto" w:fill="FFFFFF"/>
        </w:rPr>
      </w:pPr>
      <w:r>
        <w:rPr>
          <w:rFonts w:hint="default" w:ascii="Times New Roman" w:hAnsi="Times New Roman" w:eastAsia="仿宋_GB2312" w:cs="Times New Roman"/>
          <w:sz w:val="32"/>
          <w:szCs w:val="32"/>
        </w:rPr>
        <w:t>7.本年度报告的电子版可以在“薛城区政府门户网站”（http://xxgk.xuecheng.gov.cn/xxgknb/2022xxgknb/)下载。如对本报告有疑问，可与薛城区市场监管局联系（地址：枣庄市薛城区湘江路仲建商务广场，邮编：277000，电话：0632－4412506，电子邮箱：xcsjjbgs@zz.shandong.cn）。</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firstLine="620" w:firstLineChars="200"/>
        <w:jc w:val="left"/>
        <w:textAlignment w:val="auto"/>
        <w:rPr>
          <w:rFonts w:hint="eastAsia" w:ascii="Times New Roman" w:hAnsi="Times New Roman" w:eastAsia="仿宋_GB2312" w:cs="Times New Roman"/>
          <w:i w:val="0"/>
          <w:iCs w:val="0"/>
          <w:caps w:val="0"/>
          <w:color w:val="000000"/>
          <w:spacing w:val="0"/>
          <w:sz w:val="31"/>
          <w:szCs w:val="31"/>
          <w:shd w:val="clear" w:color="auto" w:fill="FFFFFF"/>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firstLine="620" w:firstLineChars="200"/>
        <w:jc w:val="left"/>
        <w:textAlignment w:val="auto"/>
        <w:rPr>
          <w:rFonts w:hint="eastAsia" w:ascii="Times New Roman" w:hAnsi="Times New Roman" w:eastAsia="仿宋_GB2312" w:cs="Times New Roman"/>
          <w:i w:val="0"/>
          <w:iCs w:val="0"/>
          <w:caps w:val="0"/>
          <w:color w:val="000000"/>
          <w:spacing w:val="0"/>
          <w:sz w:val="31"/>
          <w:szCs w:val="31"/>
          <w:shd w:val="clear" w:color="auto" w:fill="FFFFFF"/>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firstLine="620" w:firstLineChars="200"/>
        <w:jc w:val="left"/>
        <w:textAlignment w:val="auto"/>
        <w:rPr>
          <w:rFonts w:hint="eastAsia" w:ascii="Times New Roman" w:hAnsi="Times New Roman" w:eastAsia="仿宋_GB2312" w:cs="Times New Roman"/>
          <w:i w:val="0"/>
          <w:iCs w:val="0"/>
          <w:caps w:val="0"/>
          <w:color w:val="000000"/>
          <w:spacing w:val="0"/>
          <w:sz w:val="31"/>
          <w:szCs w:val="31"/>
          <w:shd w:val="clear" w:color="auto" w:fill="FFFFFF"/>
          <w:lang w:eastAsia="zh-CN"/>
        </w:rPr>
      </w:pPr>
      <w:bookmarkStart w:id="10" w:name="_GoBack"/>
      <w:bookmarkEnd w:id="10"/>
    </w:p>
    <w:p>
      <w:pPr>
        <w:widowControl/>
        <w:spacing w:line="560" w:lineRule="exact"/>
        <w:ind w:firstLine="640" w:firstLineChars="200"/>
        <w:jc w:val="righ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薛城区市场监督管理局</w:t>
      </w:r>
    </w:p>
    <w:p>
      <w:pPr>
        <w:widowControl/>
        <w:wordWrap w:val="0"/>
        <w:spacing w:line="560" w:lineRule="exact"/>
        <w:ind w:firstLine="640" w:firstLineChars="200"/>
        <w:jc w:val="right"/>
        <w:rPr>
          <w:rFonts w:hint="default" w:ascii="Times New Roman" w:hAnsi="Times New Roman" w:eastAsia="方正小标宋简体" w:cs="Times New Roman"/>
          <w:sz w:val="44"/>
          <w:szCs w:val="44"/>
        </w:rPr>
      </w:pPr>
      <w:r>
        <w:rPr>
          <w:rFonts w:hint="default" w:ascii="Times New Roman" w:hAnsi="Times New Roman" w:eastAsia="仿宋_GB2312" w:cs="Times New Roman"/>
          <w:color w:val="000000"/>
          <w:kern w:val="0"/>
          <w:sz w:val="32"/>
          <w:szCs w:val="32"/>
        </w:rPr>
        <w:t>202</w:t>
      </w:r>
      <w:r>
        <w:rPr>
          <w:rFonts w:hint="default"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rPr>
        <w:t>年1月</w:t>
      </w:r>
      <w:r>
        <w:rPr>
          <w:rFonts w:hint="default" w:ascii="Times New Roman" w:hAnsi="Times New Roman" w:eastAsia="仿宋_GB2312" w:cs="Times New Roman"/>
          <w:color w:val="000000"/>
          <w:kern w:val="0"/>
          <w:sz w:val="32"/>
          <w:szCs w:val="32"/>
          <w:lang w:val="en-US" w:eastAsia="zh-CN"/>
        </w:rPr>
        <w:t>18</w:t>
      </w:r>
      <w:r>
        <w:rPr>
          <w:rFonts w:hint="default" w:ascii="Times New Roman" w:hAnsi="Times New Roman" w:eastAsia="仿宋_GB2312" w:cs="Times New Roman"/>
          <w:color w:val="000000"/>
          <w:kern w:val="0"/>
          <w:sz w:val="32"/>
          <w:szCs w:val="32"/>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65AAB7"/>
    <w:multiLevelType w:val="singleLevel"/>
    <w:tmpl w:val="B465AAB7"/>
    <w:lvl w:ilvl="0" w:tentative="0">
      <w:start w:val="3"/>
      <w:numFmt w:val="chineseCounting"/>
      <w:suff w:val="nothing"/>
      <w:lvlText w:val="%1、"/>
      <w:lvlJc w:val="left"/>
      <w:rPr>
        <w:rFonts w:hint="eastAsia"/>
      </w:rPr>
    </w:lvl>
  </w:abstractNum>
  <w:abstractNum w:abstractNumId="1">
    <w:nsid w:val="77D98072"/>
    <w:multiLevelType w:val="singleLevel"/>
    <w:tmpl w:val="77D98072"/>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74271A"/>
    <w:rsid w:val="00B55951"/>
    <w:rsid w:val="0A74271A"/>
    <w:rsid w:val="35D46E09"/>
    <w:rsid w:val="52A55361"/>
    <w:rsid w:val="6FD43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2023-01-17T01:40:00Z</dcterms:created>
  <dc:creator>Lenovo</dc:creator>
  <cp:lastModifiedBy>Lenovo</cp:lastModifiedBy>
  <dcterms:modified xsi:type="dcterms:W3CDTF">2023-02-02T04:07:34Z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E94FF6D229814FA78F89258CC475BD3F</vt:lpwstr>
  </property>
</Properties>
</file>