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bidi w:val="0"/>
        <w:rPr>
          <w:rFonts w:hint="default"/>
        </w:rPr>
      </w:pPr>
      <w:bookmarkStart w:id="11" w:name="_GoBack"/>
      <w:bookmarkEnd w:id="11"/>
      <w:r>
        <w:rPr>
          <w:rFonts w:hint="default"/>
        </w:rPr>
        <w:t>薛城区综合行政执法局</w:t>
      </w:r>
    </w:p>
    <w:p>
      <w:pPr>
        <w:pStyle w:val="21"/>
        <w:bidi w:val="0"/>
        <w:rPr>
          <w:rFonts w:hint="default"/>
        </w:rPr>
      </w:pPr>
      <w:r>
        <w:rPr>
          <w:rFonts w:hint="default"/>
        </w:rPr>
        <w:t>202</w:t>
      </w:r>
      <w:r>
        <w:rPr>
          <w:rFonts w:hint="eastAsia"/>
          <w:lang w:val="en-US" w:eastAsia="zh-CN"/>
        </w:rPr>
        <w:t>2</w:t>
      </w:r>
      <w:r>
        <w:rPr>
          <w:rFonts w:hint="default"/>
        </w:rPr>
        <w:t>年度政府信息公开工作年度报告</w:t>
      </w:r>
    </w:p>
    <w:p>
      <w:pPr>
        <w:pStyle w:val="19"/>
      </w:pPr>
    </w:p>
    <w:p>
      <w:pPr>
        <w:pStyle w:val="16"/>
        <w:rPr>
          <w:rFonts w:hint="eastAsia"/>
          <w:lang w:val="en-US" w:eastAsia="zh-CN"/>
        </w:rPr>
      </w:pPr>
      <w:r>
        <w:rPr>
          <w:rFonts w:hint="eastAsia"/>
          <w:lang w:val="en-US" w:eastAsia="zh-CN"/>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薛城区综合行政执法局2022年度政府信息公开年度报告。本报告包括总体情况、主动公开政府信息情况、收到和处理政府信息公开申请情况、政府信息公开行政复议和行政诉讼情况、存在的主要问题及改进情况、其他需要报告的事项等六个部分。本年度报告中所列数据的统计期限自2022年1月1日起至2022年12月31日止本年度报告的电子版可以在“薛城区政府门户网站”（</w:t>
      </w:r>
      <w:r>
        <w:rPr>
          <w:rFonts w:hint="eastAsia" w:ascii="仿宋_GB2312" w:hAnsi="宋体" w:eastAsia="仿宋_GB2312" w:cs="仿宋_GB2312"/>
          <w:i w:val="0"/>
          <w:iCs w:val="0"/>
          <w:caps w:val="0"/>
          <w:color w:val="000000"/>
          <w:spacing w:val="0"/>
          <w:sz w:val="32"/>
          <w:szCs w:val="32"/>
          <w:shd w:val="clear" w:fill="FFFFFF"/>
          <w:lang w:val="en-US" w:eastAsia="zh-CN"/>
        </w:rPr>
        <w:t>http://xxgk.xuecheng.gov.cn/xxgknb/</w:t>
      </w:r>
      <w:r>
        <w:rPr>
          <w:rFonts w:hint="eastAsia"/>
          <w:lang w:val="en-US" w:eastAsia="zh-CN"/>
        </w:rPr>
        <w:t>)下载。如对本报告有疑问，可与薛城区综合行政执法局联系(地址:枣庄市薛城区富贵路21号，邮编：277000，电话：0632—4496600，电子邮箱：</w:t>
      </w:r>
      <w:r>
        <w:rPr>
          <w:rFonts w:hint="eastAsia" w:ascii="仿宋_GB2312" w:hAnsi="宋体" w:eastAsia="仿宋_GB2312" w:cs="仿宋_GB2312"/>
          <w:i w:val="0"/>
          <w:iCs w:val="0"/>
          <w:caps w:val="0"/>
          <w:color w:val="000000"/>
          <w:spacing w:val="0"/>
          <w:sz w:val="32"/>
          <w:szCs w:val="32"/>
          <w:shd w:val="clear" w:fill="FFFFFF"/>
          <w:lang w:val="en-US" w:eastAsia="zh-CN"/>
        </w:rPr>
        <w:t>xczfjdys@zz.shandong.cn</w:t>
      </w:r>
      <w:r>
        <w:rPr>
          <w:rFonts w:hint="eastAsia"/>
          <w:lang w:val="en-US" w:eastAsia="zh-CN"/>
        </w:rPr>
        <w:t>)。</w:t>
      </w:r>
    </w:p>
    <w:p>
      <w:pPr>
        <w:pStyle w:val="16"/>
        <w:rPr>
          <w:rFonts w:hint="eastAsia"/>
          <w:lang w:val="en-US" w:eastAsia="zh-CN"/>
        </w:rPr>
      </w:pPr>
      <w:r>
        <w:rPr>
          <w:rFonts w:ascii="黑体" w:hAnsi="宋体" w:eastAsia="黑体" w:cs="黑体"/>
          <w:i w:val="0"/>
          <w:iCs w:val="0"/>
          <w:caps w:val="0"/>
          <w:color w:val="000000"/>
          <w:spacing w:val="0"/>
          <w:sz w:val="32"/>
          <w:szCs w:val="32"/>
          <w:shd w:val="clear" w:fill="FFFFFF"/>
        </w:rPr>
        <w:t>一、总体情况</w:t>
      </w:r>
    </w:p>
    <w:p>
      <w:pPr>
        <w:pStyle w:val="16"/>
        <w:rPr>
          <w:rFonts w:hint="eastAsia"/>
          <w:lang w:val="en-US" w:eastAsia="zh-CN"/>
        </w:rPr>
      </w:pPr>
      <w:r>
        <w:rPr>
          <w:rFonts w:hint="default" w:ascii="Times New Roman" w:hAnsi="Times New Roman" w:eastAsia="宋体" w:cs="Times New Roman"/>
          <w:i w:val="0"/>
          <w:iCs w:val="0"/>
          <w:caps w:val="0"/>
          <w:color w:val="000000"/>
          <w:spacing w:val="0"/>
          <w:sz w:val="32"/>
          <w:szCs w:val="32"/>
          <w:shd w:val="clear" w:fill="FFFFFF"/>
        </w:rPr>
        <w:t>202</w:t>
      </w:r>
      <w:r>
        <w:rPr>
          <w:rFonts w:hint="eastAsia" w:ascii="Times New Roman" w:hAnsi="Times New Roman" w:eastAsia="宋体" w:cs="Times New Roman"/>
          <w:i w:val="0"/>
          <w:iCs w:val="0"/>
          <w:caps w:val="0"/>
          <w:color w:val="000000"/>
          <w:spacing w:val="0"/>
          <w:sz w:val="32"/>
          <w:szCs w:val="32"/>
          <w:shd w:val="clear" w:fill="FFFFFF"/>
          <w:lang w:val="en-US" w:eastAsia="zh-CN"/>
        </w:rPr>
        <w:t>2</w:t>
      </w:r>
      <w:r>
        <w:rPr>
          <w:rFonts w:ascii="仿宋_GB2312" w:hAnsi="宋体" w:eastAsia="仿宋_GB2312" w:cs="仿宋_GB2312"/>
          <w:i w:val="0"/>
          <w:iCs w:val="0"/>
          <w:caps w:val="0"/>
          <w:color w:val="000000"/>
          <w:spacing w:val="0"/>
          <w:sz w:val="32"/>
          <w:szCs w:val="32"/>
          <w:shd w:val="clear" w:fill="FFFFFF"/>
        </w:rPr>
        <w:t>年，薛城区综合行政执法局政府信息公开工作在区委、区政府及局党组的正确领导和区政府办公室政务公开办公室的精心指导下，认真贯彻落实《中华人民共和国政府信息公开条例》，坚持以人民为中心的发展思想和以公开为常态、不公开为例外的原则，全面推进决策、执行、管理、服务、结果全过程公开。进一步细化信息公开标准、严密信息公开程序、强化信息公开监督，全力保障人民群众的知情权、参与权和监督权，切实增强人民群众的获得感和对政府工作的满意度，更好地为公众提供便利、高效的服务。</w:t>
      </w:r>
    </w:p>
    <w:p>
      <w:pPr>
        <w:pStyle w:val="16"/>
        <w:rPr>
          <w:rFonts w:hint="eastAsia" w:ascii="仿宋_GB2312" w:hAnsi="宋体" w:eastAsia="仿宋_GB2312" w:cs="仿宋_GB2312"/>
          <w:i w:val="0"/>
          <w:iCs w:val="0"/>
          <w:caps w:val="0"/>
          <w:color w:val="000000"/>
          <w:spacing w:val="0"/>
          <w:sz w:val="32"/>
          <w:szCs w:val="32"/>
          <w:shd w:val="clear" w:fill="FFFFFF"/>
          <w:lang w:val="en-US" w:eastAsia="zh-CN"/>
        </w:rPr>
      </w:pPr>
      <w:r>
        <w:rPr>
          <w:rFonts w:ascii="仿宋_GB2312" w:hAnsi="Arial" w:eastAsia="仿宋_GB2312" w:cs="仿宋_GB2312"/>
          <w:i w:val="0"/>
          <w:iCs w:val="0"/>
          <w:caps w:val="0"/>
          <w:color w:val="000000"/>
          <w:spacing w:val="0"/>
          <w:sz w:val="32"/>
          <w:szCs w:val="32"/>
          <w:shd w:val="clear" w:fill="FFFFFF"/>
        </w:rPr>
        <w:t>1.</w:t>
      </w:r>
      <w:r>
        <w:rPr>
          <w:rFonts w:hint="eastAsia" w:ascii="仿宋_GB2312" w:hAnsi="宋体" w:eastAsia="仿宋_GB2312" w:cs="仿宋_GB2312"/>
          <w:i w:val="0"/>
          <w:iCs w:val="0"/>
          <w:caps w:val="0"/>
          <w:color w:val="000000"/>
          <w:spacing w:val="0"/>
          <w:sz w:val="32"/>
          <w:szCs w:val="32"/>
          <w:shd w:val="clear" w:fill="FFFFFF"/>
        </w:rPr>
        <w:t>主动公开情况。政府信息公开建立起“主要领导亲自抓，分管领导具体抓，专门机构抓落实”的工作机制。202</w:t>
      </w: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rPr>
        <w:t>年，累计主动公开政府信息</w:t>
      </w:r>
      <w:r>
        <w:rPr>
          <w:rFonts w:hint="eastAsia" w:ascii="仿宋_GB2312" w:hAnsi="宋体" w:eastAsia="仿宋_GB2312" w:cs="仿宋_GB2312"/>
          <w:i w:val="0"/>
          <w:iCs w:val="0"/>
          <w:caps w:val="0"/>
          <w:color w:val="000000"/>
          <w:spacing w:val="0"/>
          <w:sz w:val="32"/>
          <w:szCs w:val="32"/>
          <w:shd w:val="clear" w:fill="FFFFFF"/>
          <w:lang w:val="en-US" w:eastAsia="zh-CN"/>
        </w:rPr>
        <w:t>131</w:t>
      </w:r>
      <w:r>
        <w:rPr>
          <w:rFonts w:hint="eastAsia" w:ascii="仿宋_GB2312" w:hAnsi="宋体" w:eastAsia="仿宋_GB2312" w:cs="仿宋_GB2312"/>
          <w:i w:val="0"/>
          <w:iCs w:val="0"/>
          <w:caps w:val="0"/>
          <w:color w:val="000000"/>
          <w:spacing w:val="0"/>
          <w:sz w:val="32"/>
          <w:szCs w:val="32"/>
          <w:shd w:val="clear" w:fill="FFFFFF"/>
        </w:rPr>
        <w:t>条。在主动公开的信息中，反映我局行政许可审批0条，其他</w:t>
      </w:r>
      <w:r>
        <w:rPr>
          <w:rFonts w:hint="eastAsia" w:ascii="仿宋_GB2312" w:hAnsi="宋体" w:eastAsia="仿宋_GB2312" w:cs="仿宋_GB2312"/>
          <w:i w:val="0"/>
          <w:iCs w:val="0"/>
          <w:caps w:val="0"/>
          <w:color w:val="000000"/>
          <w:spacing w:val="0"/>
          <w:sz w:val="32"/>
          <w:szCs w:val="32"/>
          <w:shd w:val="clear" w:fill="FFFFFF"/>
          <w:lang w:val="en-US" w:eastAsia="zh-CN"/>
        </w:rPr>
        <w:t>100</w:t>
      </w:r>
      <w:r>
        <w:rPr>
          <w:rFonts w:hint="eastAsia" w:ascii="仿宋_GB2312" w:hAnsi="宋体" w:eastAsia="仿宋_GB2312" w:cs="仿宋_GB2312"/>
          <w:i w:val="0"/>
          <w:iCs w:val="0"/>
          <w:caps w:val="0"/>
          <w:color w:val="000000"/>
          <w:spacing w:val="0"/>
          <w:sz w:val="32"/>
          <w:szCs w:val="32"/>
          <w:shd w:val="clear" w:fill="FFFFFF"/>
        </w:rPr>
        <w:t>条，行政处罚</w:t>
      </w:r>
      <w:r>
        <w:rPr>
          <w:rFonts w:hint="eastAsia" w:ascii="仿宋_GB2312" w:hAnsi="宋体" w:eastAsia="仿宋_GB2312" w:cs="仿宋_GB2312"/>
          <w:i w:val="0"/>
          <w:iCs w:val="0"/>
          <w:caps w:val="0"/>
          <w:color w:val="000000"/>
          <w:spacing w:val="0"/>
          <w:sz w:val="32"/>
          <w:szCs w:val="32"/>
          <w:shd w:val="clear" w:fill="FFFFFF"/>
          <w:lang w:val="en-US" w:eastAsia="zh-CN"/>
        </w:rPr>
        <w:t>31</w:t>
      </w:r>
      <w:r>
        <w:rPr>
          <w:rFonts w:hint="eastAsia" w:ascii="仿宋_GB2312" w:hAnsi="宋体" w:eastAsia="仿宋_GB2312" w:cs="仿宋_GB2312"/>
          <w:i w:val="0"/>
          <w:iCs w:val="0"/>
          <w:caps w:val="0"/>
          <w:color w:val="000000"/>
          <w:spacing w:val="0"/>
          <w:sz w:val="32"/>
          <w:szCs w:val="32"/>
          <w:shd w:val="clear" w:fill="FFFFFF"/>
        </w:rPr>
        <w:t>条，政府集中采购0条，主要公开内容是城市管理工作动态、政务信息等。</w:t>
      </w:r>
    </w:p>
    <w:p>
      <w:pPr>
        <w:pStyle w:val="16"/>
        <w:rPr>
          <w:rFonts w:hint="eastAsia"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2.</w:t>
      </w:r>
      <w:r>
        <w:rPr>
          <w:rFonts w:hint="eastAsia" w:ascii="仿宋_GB2312" w:hAnsi="宋体" w:eastAsia="仿宋_GB2312" w:cs="仿宋_GB2312"/>
          <w:i w:val="0"/>
          <w:iCs w:val="0"/>
          <w:caps w:val="0"/>
          <w:color w:val="000000"/>
          <w:spacing w:val="0"/>
          <w:sz w:val="32"/>
          <w:szCs w:val="32"/>
          <w:shd w:val="clear" w:fill="FFFFFF"/>
        </w:rPr>
        <w:t>依申请公开情况。202</w:t>
      </w: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rPr>
        <w:t>年区综合行政执法局共收到依申请信息公开</w:t>
      </w:r>
      <w:r>
        <w:rPr>
          <w:rFonts w:hint="eastAsia" w:ascii="仿宋_GB2312" w:hAnsi="宋体"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rPr>
        <w:t>件，</w:t>
      </w:r>
      <w:r>
        <w:rPr>
          <w:rFonts w:hint="eastAsia" w:ascii="仿宋_GB2312" w:hAnsi="宋体"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rPr>
        <w:t>件均按规定时限答复</w:t>
      </w:r>
      <w:r>
        <w:rPr>
          <w:rFonts w:hint="eastAsia" w:ascii="仿宋_GB2312" w:hAnsi="宋体" w:eastAsia="仿宋_GB2312" w:cs="仿宋_GB2312"/>
          <w:i w:val="0"/>
          <w:iCs w:val="0"/>
          <w:caps w:val="0"/>
          <w:color w:val="000000"/>
          <w:spacing w:val="0"/>
          <w:sz w:val="32"/>
          <w:szCs w:val="32"/>
          <w:shd w:val="clear" w:fill="FFFFFF"/>
          <w:lang w:val="en-US" w:eastAsia="zh-CN"/>
        </w:rPr>
        <w:t>,</w:t>
      </w:r>
      <w:r>
        <w:rPr>
          <w:rFonts w:hint="eastAsia" w:ascii="仿宋_GB2312" w:hAnsi="宋体" w:eastAsia="仿宋_GB2312" w:cs="仿宋_GB2312"/>
          <w:i w:val="0"/>
          <w:iCs w:val="0"/>
          <w:caps w:val="0"/>
          <w:color w:val="000000"/>
          <w:spacing w:val="0"/>
          <w:sz w:val="32"/>
          <w:szCs w:val="32"/>
          <w:shd w:val="clear" w:fill="FFFFFF"/>
        </w:rPr>
        <w:t>已告知申请人获取信息的方式、途径。</w:t>
      </w:r>
    </w:p>
    <w:p>
      <w:pPr>
        <w:pStyle w:val="16"/>
        <w:rPr>
          <w:rFonts w:hint="eastAsia"/>
          <w:lang w:val="en-US" w:eastAsia="zh-CN"/>
        </w:rPr>
      </w:pPr>
      <w:r>
        <w:rPr>
          <w:rFonts w:ascii="仿宋_GB2312" w:hAnsi="Arial" w:eastAsia="仿宋_GB2312" w:cs="仿宋_GB2312"/>
          <w:i w:val="0"/>
          <w:iCs w:val="0"/>
          <w:caps w:val="0"/>
          <w:color w:val="000000"/>
          <w:spacing w:val="0"/>
          <w:sz w:val="32"/>
          <w:szCs w:val="32"/>
          <w:shd w:val="clear" w:fill="FFFFFF"/>
        </w:rPr>
        <w:t>3.</w:t>
      </w:r>
      <w:r>
        <w:rPr>
          <w:rFonts w:hint="eastAsia" w:ascii="仿宋_GB2312" w:hAnsi="宋体" w:eastAsia="仿宋_GB2312" w:cs="仿宋_GB2312"/>
          <w:i w:val="0"/>
          <w:iCs w:val="0"/>
          <w:caps w:val="0"/>
          <w:color w:val="000000"/>
          <w:spacing w:val="0"/>
          <w:sz w:val="32"/>
          <w:szCs w:val="32"/>
          <w:shd w:val="clear" w:fill="FFFFFF"/>
        </w:rPr>
        <w:t>政府信息管理情况。完善各股室、局属各单位各司其职、分工协作的信息管理体系，严格执行政府信息公开审查制度，规范信息报送流程，由各股室、各单位负责同志对主动公开的信息内容和依申请公开答复事项进行信息初审，经分管领导审核同意后报局政务公开工作领导小组办公室进行保密审查，切实做到人人有责、层层负责、规范有序、高效透明，确保信息内容准确合规。</w:t>
      </w:r>
    </w:p>
    <w:p>
      <w:pPr>
        <w:pStyle w:val="16"/>
        <w:rPr>
          <w:rFonts w:hint="eastAsia"/>
          <w:lang w:val="en-US" w:eastAsia="zh-CN"/>
        </w:rPr>
      </w:pPr>
      <w:r>
        <w:rPr>
          <w:rFonts w:ascii="仿宋_GB2312" w:hAnsi="Arial" w:eastAsia="仿宋_GB2312" w:cs="仿宋_GB2312"/>
          <w:i w:val="0"/>
          <w:iCs w:val="0"/>
          <w:caps w:val="0"/>
          <w:color w:val="000000"/>
          <w:spacing w:val="0"/>
          <w:sz w:val="32"/>
          <w:szCs w:val="32"/>
          <w:shd w:val="clear" w:fill="FFFFFF"/>
        </w:rPr>
        <w:t>4.</w:t>
      </w:r>
      <w:r>
        <w:rPr>
          <w:rFonts w:hint="eastAsia" w:ascii="仿宋_GB2312" w:hAnsi="宋体" w:eastAsia="仿宋_GB2312" w:cs="仿宋_GB2312"/>
          <w:i w:val="0"/>
          <w:iCs w:val="0"/>
          <w:caps w:val="0"/>
          <w:color w:val="000000"/>
          <w:spacing w:val="0"/>
          <w:sz w:val="32"/>
          <w:szCs w:val="32"/>
          <w:shd w:val="clear" w:fill="FFFFFF"/>
        </w:rPr>
        <w:t>政府信息公开平台建设情况。区综合行政执法局</w:t>
      </w:r>
      <w:r>
        <w:rPr>
          <w:rFonts w:hint="eastAsia" w:ascii="仿宋_GB2312" w:hAnsi="宋体" w:eastAsia="仿宋_GB2312" w:cs="仿宋_GB2312"/>
          <w:i w:val="0"/>
          <w:iCs w:val="0"/>
          <w:caps w:val="0"/>
          <w:color w:val="auto"/>
          <w:spacing w:val="0"/>
          <w:sz w:val="32"/>
          <w:szCs w:val="32"/>
          <w:shd w:val="clear" w:fill="FFFFFF"/>
        </w:rPr>
        <w:t>无独立门户网站，</w:t>
      </w:r>
      <w:r>
        <w:rPr>
          <w:rFonts w:hint="eastAsia" w:ascii="仿宋_GB2312" w:hAnsi="宋体" w:eastAsia="仿宋_GB2312" w:cs="仿宋_GB2312"/>
          <w:i w:val="0"/>
          <w:iCs w:val="0"/>
          <w:caps w:val="0"/>
          <w:color w:val="000000"/>
          <w:spacing w:val="0"/>
          <w:sz w:val="32"/>
          <w:szCs w:val="32"/>
          <w:shd w:val="clear" w:fill="FFFFFF"/>
        </w:rPr>
        <w:t>政务公开信息主要通过区政府门户网站发布。</w:t>
      </w:r>
      <w:r>
        <w:rPr>
          <w:rFonts w:hint="eastAsia" w:ascii="仿宋_GB2312" w:hAnsi="Arial" w:eastAsia="仿宋_GB2312" w:cs="仿宋_GB2312"/>
          <w:i w:val="0"/>
          <w:iCs w:val="0"/>
          <w:caps w:val="0"/>
          <w:color w:val="000000"/>
          <w:spacing w:val="0"/>
          <w:sz w:val="32"/>
          <w:szCs w:val="32"/>
          <w:shd w:val="clear" w:fill="FFFFFF"/>
        </w:rPr>
        <w:t>202</w:t>
      </w:r>
      <w:r>
        <w:rPr>
          <w:rFonts w:hint="eastAsia" w:ascii="仿宋_GB2312" w:hAnsi="Arial"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rPr>
        <w:t>年度，区综合行政执法局严格按照区政府集约化智能门户平台板块及栏目设置公开各项政务信息，确保应有公开栏目不漏项，信息报送保质保量。</w:t>
      </w:r>
    </w:p>
    <w:p>
      <w:pPr>
        <w:pStyle w:val="16"/>
        <w:rPr>
          <w:rFonts w:hint="eastAsia"/>
          <w:lang w:val="en-US" w:eastAsia="zh-CN"/>
        </w:rPr>
      </w:pPr>
      <w:r>
        <w:rPr>
          <w:rFonts w:ascii="仿宋_GB2312" w:hAnsi="Arial" w:eastAsia="仿宋_GB2312" w:cs="仿宋_GB2312"/>
          <w:i w:val="0"/>
          <w:iCs w:val="0"/>
          <w:caps w:val="0"/>
          <w:color w:val="000000"/>
          <w:spacing w:val="0"/>
          <w:sz w:val="32"/>
          <w:szCs w:val="32"/>
          <w:shd w:val="clear" w:fill="FFFFFF"/>
        </w:rPr>
        <w:t>5.</w:t>
      </w:r>
      <w:r>
        <w:rPr>
          <w:rFonts w:hint="eastAsia" w:ascii="仿宋_GB2312" w:hAnsi="宋体" w:eastAsia="仿宋_GB2312" w:cs="仿宋_GB2312"/>
          <w:i w:val="0"/>
          <w:iCs w:val="0"/>
          <w:caps w:val="0"/>
          <w:color w:val="000000"/>
          <w:spacing w:val="0"/>
          <w:sz w:val="32"/>
          <w:szCs w:val="32"/>
          <w:shd w:val="clear" w:fill="FFFFFF"/>
        </w:rPr>
        <w:t>监督保障情况。根据人员变动及时调整局政务公开工作领导小组，强化组织领导，明确责任分工</w:t>
      </w:r>
      <w:r>
        <w:rPr>
          <w:rFonts w:hint="eastAsia" w:ascii="仿宋_GB2312" w:hAnsi="宋体" w:eastAsia="仿宋_GB2312" w:cs="仿宋_GB2312"/>
          <w:i w:val="0"/>
          <w:iCs w:val="0"/>
          <w:caps w:val="0"/>
          <w:color w:val="000000"/>
          <w:spacing w:val="0"/>
          <w:sz w:val="32"/>
          <w:szCs w:val="32"/>
          <w:shd w:val="clear" w:fill="FFFFFF"/>
          <w:lang w:val="en-US" w:eastAsia="zh-CN"/>
        </w:rPr>
        <w:t>,</w:t>
      </w:r>
      <w:r>
        <w:rPr>
          <w:rFonts w:hint="eastAsia" w:ascii="仿宋_GB2312" w:hAnsi="宋体" w:eastAsia="仿宋_GB2312" w:cs="仿宋_GB2312"/>
          <w:i w:val="0"/>
          <w:iCs w:val="0"/>
          <w:caps w:val="0"/>
          <w:color w:val="000000"/>
          <w:spacing w:val="0"/>
          <w:sz w:val="32"/>
          <w:szCs w:val="32"/>
          <w:shd w:val="clear" w:fill="FFFFFF"/>
        </w:rPr>
        <w:t>提高政务公开透明度，保证公开信息的权威性和准确性。定期组织政务公开信息员业务培训，强化保密意识，确保政务公开工作落到实处。主动接受区政务公开办及部门对我局政务信息公开情况的监督，对照监督检测出的问题及时认真做好整改工作。</w:t>
      </w:r>
    </w:p>
    <w:p>
      <w:pPr>
        <w:pStyle w:val="16"/>
        <w:rPr>
          <w:rFonts w:hint="eastAsia"/>
          <w:lang w:val="en-US" w:eastAsia="zh-CN"/>
        </w:rPr>
      </w:pPr>
      <w:r>
        <w:rPr>
          <w:rFonts w:ascii="黑体" w:hAnsi="宋体" w:eastAsia="黑体" w:cs="黑体"/>
          <w:i w:val="0"/>
          <w:iCs w:val="0"/>
          <w:caps w:val="0"/>
          <w:color w:val="000000"/>
          <w:spacing w:val="0"/>
          <w:sz w:val="32"/>
          <w:szCs w:val="32"/>
          <w:shd w:val="clear" w:fill="FFFFFF"/>
        </w:rPr>
        <w:t>二、主动公开政府信息情况</w:t>
      </w:r>
    </w:p>
    <w:p>
      <w:pPr>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主动公开政府信息情况统计表</w:t>
      </w:r>
    </w:p>
    <w:tbl>
      <w:tblPr>
        <w:tblStyle w:val="12"/>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 w:val="21"/>
                <w:szCs w:val="21"/>
                <w:lang w:eastAsia="zh-CN"/>
              </w:rPr>
            </w:pPr>
            <w:r>
              <w:rPr>
                <w:rFonts w:hint="eastAsia" w:ascii="仿宋_GB2312" w:hAnsi="Calibri" w:cs="Calibri"/>
                <w:color w:val="000000"/>
                <w:kern w:val="0"/>
                <w:sz w:val="21"/>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 w:val="21"/>
                <w:szCs w:val="21"/>
                <w:lang w:eastAsia="zh-CN"/>
              </w:rPr>
            </w:pPr>
            <w:r>
              <w:rPr>
                <w:rFonts w:hint="eastAsia" w:ascii="仿宋_GB2312" w:hAnsi="宋体" w:cs="宋体"/>
                <w:color w:val="000000"/>
                <w:kern w:val="0"/>
                <w:sz w:val="21"/>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 w:val="21"/>
                <w:szCs w:val="21"/>
                <w:lang w:eastAsia="zh-CN"/>
              </w:rPr>
            </w:pPr>
            <w:r>
              <w:rPr>
                <w:rFonts w:hint="eastAsia" w:ascii="仿宋_GB2312" w:hAnsi="Calibri" w:cs="Calibri"/>
                <w:color w:val="000000"/>
                <w:kern w:val="0"/>
                <w:sz w:val="21"/>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 w:val="21"/>
                <w:szCs w:val="21"/>
                <w:lang w:eastAsia="zh-CN"/>
              </w:rPr>
            </w:pPr>
            <w:r>
              <w:rPr>
                <w:rFonts w:hint="eastAsia" w:ascii="仿宋_GB2312" w:hAnsi="Calibri" w:cs="Calibri"/>
                <w:color w:val="000000"/>
                <w:kern w:val="0"/>
                <w:sz w:val="21"/>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 w:val="21"/>
                <w:szCs w:val="21"/>
                <w:lang w:val="en-US" w:eastAsia="zh-CN"/>
              </w:rPr>
            </w:pPr>
            <w:r>
              <w:rPr>
                <w:rFonts w:hint="eastAsia" w:ascii="仿宋_GB2312" w:hAnsi="宋体" w:cs="宋体"/>
                <w:color w:val="000000"/>
                <w:kern w:val="0"/>
                <w:sz w:val="21"/>
                <w:szCs w:val="21"/>
                <w:lang w:val="en-US" w:eastAsia="zh-CN"/>
              </w:rPr>
              <w:t>31</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 w:val="21"/>
                <w:szCs w:val="21"/>
                <w:lang w:val="en-US" w:eastAsia="zh-CN"/>
              </w:rPr>
            </w:pPr>
            <w:r>
              <w:rPr>
                <w:rFonts w:hint="eastAsia" w:ascii="仿宋_GB2312" w:hAnsi="宋体" w:cs="宋体"/>
                <w:color w:val="000000"/>
                <w:kern w:val="0"/>
                <w:sz w:val="21"/>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 w:val="21"/>
                <w:szCs w:val="21"/>
                <w:lang w:eastAsia="zh-CN"/>
              </w:rPr>
            </w:pPr>
            <w:r>
              <w:rPr>
                <w:rFonts w:hint="eastAsia" w:ascii="仿宋_GB2312" w:hAnsi="Calibri" w:cs="Calibri"/>
                <w:color w:val="000000"/>
                <w:kern w:val="0"/>
                <w:sz w:val="21"/>
                <w:szCs w:val="21"/>
                <w:lang w:val="en-US" w:eastAsia="zh-CN"/>
              </w:rPr>
              <w:t>0</w:t>
            </w:r>
          </w:p>
        </w:tc>
      </w:tr>
    </w:tbl>
    <w:p>
      <w:pPr>
        <w:pStyle w:val="16"/>
        <w:rPr>
          <w:rFonts w:hint="eastAsia"/>
          <w:lang w:val="en-US" w:eastAsia="zh-CN"/>
        </w:rPr>
      </w:pPr>
      <w:r>
        <w:rPr>
          <w:rFonts w:ascii="黑体" w:hAnsi="宋体" w:eastAsia="黑体" w:cs="黑体"/>
          <w:i w:val="0"/>
          <w:iCs w:val="0"/>
          <w:caps w:val="0"/>
          <w:color w:val="00000A"/>
          <w:spacing w:val="-2"/>
          <w:sz w:val="32"/>
          <w:szCs w:val="32"/>
          <w:shd w:val="clear" w:fill="FFFFFF"/>
        </w:rPr>
        <w:t>三、收到和处理政府信息公开申请情况</w:t>
      </w:r>
    </w:p>
    <w:p>
      <w:pPr>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收到和处理政府信息公开申请情况</w:t>
      </w:r>
      <w:bookmarkStart w:id="0" w:name="_Hlk83814431"/>
      <w:r>
        <w:rPr>
          <w:rFonts w:hint="eastAsia" w:ascii="方正小标宋简体" w:hAnsi="等线" w:eastAsia="方正小标宋简体" w:cs="Times New Roman"/>
          <w:sz w:val="44"/>
          <w:szCs w:val="44"/>
        </w:rPr>
        <w:t>统计表</w:t>
      </w:r>
      <w:bookmarkEnd w:id="0"/>
    </w:p>
    <w:p>
      <w:pPr>
        <w:rPr>
          <w:rFonts w:ascii="仿宋_GB2312" w:hAnsi="等线" w:eastAsia="仿宋_GB2312" w:cs="Times New Roman"/>
          <w:sz w:val="32"/>
          <w:szCs w:val="32"/>
        </w:rPr>
      </w:pPr>
    </w:p>
    <w:tbl>
      <w:tblPr>
        <w:tblStyle w:val="12"/>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kern w:val="0"/>
                <w:sz w:val="21"/>
                <w:szCs w:val="21"/>
              </w:rPr>
            </w:pPr>
            <w:r>
              <w:rPr>
                <w:rFonts w:hint="eastAsia" w:ascii="楷体_GB2312" w:hAnsi="黑体" w:eastAsia="楷体_GB2312" w:cs="Times New Roman"/>
                <w:kern w:val="0"/>
                <w:sz w:val="21"/>
                <w:szCs w:val="21"/>
              </w:rPr>
              <w:t>（本列数据的勾稽关系为：第一项加第二项之和，</w:t>
            </w:r>
          </w:p>
          <w:p>
            <w:pPr>
              <w:widowControl/>
              <w:jc w:val="center"/>
              <w:rPr>
                <w:rFonts w:ascii="仿宋_GB2312" w:hAnsi="Times New Roman" w:eastAsia="仿宋_GB2312" w:cs="Times New Roman"/>
                <w:sz w:val="21"/>
                <w:szCs w:val="21"/>
              </w:rPr>
            </w:pPr>
            <w:r>
              <w:rPr>
                <w:rFonts w:hint="eastAsia" w:ascii="楷体_GB2312" w:hAnsi="黑体" w:eastAsia="楷体_GB2312" w:cs="Times New Roman"/>
                <w:kern w:val="0"/>
                <w:sz w:val="21"/>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sz w:val="21"/>
                <w:szCs w:val="21"/>
              </w:rPr>
            </w:pPr>
            <w:r>
              <w:rPr>
                <w:rFonts w:hint="eastAsia" w:ascii="黑体" w:hAnsi="黑体" w:eastAsia="黑体" w:cs="Times New Roman"/>
                <w:kern w:val="0"/>
                <w:sz w:val="21"/>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sz w:val="21"/>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s="Times New Roman"/>
                <w:sz w:val="21"/>
                <w:szCs w:val="21"/>
              </w:rPr>
            </w:pPr>
            <w:r>
              <w:rPr>
                <w:rFonts w:hint="eastAsia" w:ascii="黑体" w:hAnsi="黑体" w:eastAsia="黑体" w:cs="Times New Roman"/>
                <w:kern w:val="0"/>
                <w:sz w:val="21"/>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sz w:val="21"/>
                <w:szCs w:val="21"/>
              </w:rPr>
            </w:pPr>
            <w:r>
              <w:rPr>
                <w:rFonts w:hint="eastAsia" w:ascii="黑体" w:hAnsi="黑体" w:eastAsia="黑体" w:cs="Times New Roman"/>
                <w:kern w:val="0"/>
                <w:sz w:val="21"/>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s="Times New Roman"/>
                <w:sz w:val="21"/>
                <w:szCs w:val="21"/>
              </w:rPr>
            </w:pPr>
            <w:r>
              <w:rPr>
                <w:rFonts w:hint="eastAsia" w:ascii="黑体" w:hAnsi="黑体" w:eastAsia="黑体" w:cs="Times New Roman"/>
                <w:kern w:val="0"/>
                <w:sz w:val="21"/>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sz w:val="21"/>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s="Times New Roman"/>
                <w:sz w:val="21"/>
                <w:szCs w:val="21"/>
              </w:rPr>
            </w:pPr>
          </w:p>
        </w:tc>
        <w:tc>
          <w:tcPr>
            <w:tcW w:w="567" w:type="dxa"/>
            <w:shd w:val="clear" w:color="auto" w:fill="auto"/>
            <w:tcMar>
              <w:left w:w="108" w:type="dxa"/>
              <w:right w:w="108" w:type="dxa"/>
            </w:tcMar>
            <w:vAlign w:val="center"/>
          </w:tcPr>
          <w:p>
            <w:pPr>
              <w:widowControl/>
              <w:spacing w:line="320" w:lineRule="exact"/>
              <w:ind w:left="-160" w:leftChars="-51" w:right="-161" w:rightChars="-51" w:hanging="1"/>
              <w:jc w:val="center"/>
              <w:rPr>
                <w:rFonts w:ascii="黑体" w:hAnsi="黑体" w:eastAsia="黑体" w:cs="Times New Roman"/>
                <w:sz w:val="21"/>
                <w:szCs w:val="21"/>
              </w:rPr>
            </w:pPr>
            <w:r>
              <w:rPr>
                <w:rFonts w:hint="eastAsia" w:ascii="黑体" w:hAnsi="黑体" w:eastAsia="黑体" w:cs="Times New Roman"/>
                <w:kern w:val="0"/>
                <w:sz w:val="21"/>
                <w:szCs w:val="21"/>
              </w:rPr>
              <w:t>商业企业</w:t>
            </w:r>
          </w:p>
        </w:tc>
        <w:tc>
          <w:tcPr>
            <w:tcW w:w="567" w:type="dxa"/>
            <w:shd w:val="clear" w:color="auto" w:fill="auto"/>
            <w:tcMar>
              <w:left w:w="108" w:type="dxa"/>
              <w:right w:w="108" w:type="dxa"/>
            </w:tcMar>
            <w:vAlign w:val="center"/>
          </w:tcPr>
          <w:p>
            <w:pPr>
              <w:widowControl/>
              <w:spacing w:line="320" w:lineRule="exact"/>
              <w:ind w:left="-161" w:leftChars="-51" w:right="-161" w:rightChars="-51"/>
              <w:jc w:val="center"/>
              <w:rPr>
                <w:rFonts w:ascii="黑体" w:hAnsi="黑体" w:eastAsia="黑体" w:cs="Times New Roman"/>
                <w:sz w:val="21"/>
                <w:szCs w:val="21"/>
              </w:rPr>
            </w:pPr>
            <w:r>
              <w:rPr>
                <w:rFonts w:hint="eastAsia" w:ascii="黑体" w:hAnsi="黑体" w:eastAsia="黑体" w:cs="Times New Roman"/>
                <w:kern w:val="0"/>
                <w:sz w:val="21"/>
                <w:szCs w:val="21"/>
              </w:rPr>
              <w:t>科研机构</w:t>
            </w:r>
          </w:p>
        </w:tc>
        <w:tc>
          <w:tcPr>
            <w:tcW w:w="731" w:type="dxa"/>
            <w:shd w:val="clear" w:color="auto" w:fill="auto"/>
            <w:tcMar>
              <w:left w:w="108" w:type="dxa"/>
              <w:right w:w="108" w:type="dxa"/>
            </w:tcMar>
            <w:vAlign w:val="center"/>
          </w:tcPr>
          <w:p>
            <w:pPr>
              <w:widowControl/>
              <w:spacing w:line="320" w:lineRule="exact"/>
              <w:ind w:left="-161" w:leftChars="-51" w:right="-161" w:rightChars="-51"/>
              <w:jc w:val="center"/>
              <w:rPr>
                <w:rFonts w:ascii="黑体" w:hAnsi="黑体" w:eastAsia="黑体" w:cs="Times New Roman"/>
                <w:sz w:val="21"/>
                <w:szCs w:val="21"/>
              </w:rPr>
            </w:pPr>
            <w:r>
              <w:rPr>
                <w:rFonts w:hint="eastAsia" w:ascii="黑体" w:hAnsi="黑体" w:eastAsia="黑体" w:cs="Times New Roman"/>
                <w:kern w:val="0"/>
                <w:sz w:val="21"/>
                <w:szCs w:val="21"/>
              </w:rPr>
              <w:t>社会公益组织</w:t>
            </w:r>
          </w:p>
        </w:tc>
        <w:tc>
          <w:tcPr>
            <w:tcW w:w="708" w:type="dxa"/>
            <w:shd w:val="clear" w:color="auto" w:fill="auto"/>
            <w:tcMar>
              <w:left w:w="108" w:type="dxa"/>
              <w:right w:w="108" w:type="dxa"/>
            </w:tcMar>
            <w:vAlign w:val="center"/>
          </w:tcPr>
          <w:p>
            <w:pPr>
              <w:widowControl/>
              <w:spacing w:line="320" w:lineRule="exact"/>
              <w:ind w:left="-160" w:leftChars="-51" w:right="-161" w:rightChars="-51" w:hanging="1"/>
              <w:jc w:val="center"/>
              <w:rPr>
                <w:rFonts w:ascii="黑体" w:hAnsi="黑体" w:eastAsia="黑体" w:cs="Times New Roman"/>
                <w:sz w:val="21"/>
                <w:szCs w:val="21"/>
              </w:rPr>
            </w:pPr>
            <w:r>
              <w:rPr>
                <w:rFonts w:hint="eastAsia" w:ascii="黑体" w:hAnsi="黑体" w:eastAsia="黑体" w:cs="Times New Roman"/>
                <w:kern w:val="0"/>
                <w:sz w:val="21"/>
                <w:szCs w:val="21"/>
              </w:rPr>
              <w:t>法律服务机构</w:t>
            </w:r>
          </w:p>
        </w:tc>
        <w:tc>
          <w:tcPr>
            <w:tcW w:w="567" w:type="dxa"/>
            <w:shd w:val="clear" w:color="auto" w:fill="auto"/>
            <w:tcMar>
              <w:left w:w="108" w:type="dxa"/>
              <w:right w:w="108" w:type="dxa"/>
            </w:tcMar>
            <w:vAlign w:val="center"/>
          </w:tcPr>
          <w:p>
            <w:pPr>
              <w:widowControl/>
              <w:spacing w:line="360" w:lineRule="exact"/>
              <w:ind w:left="-94" w:leftChars="-30" w:right="-202" w:rightChars="-64"/>
              <w:jc w:val="center"/>
              <w:rPr>
                <w:rFonts w:ascii="黑体" w:hAnsi="黑体" w:eastAsia="黑体" w:cs="Times New Roman"/>
                <w:sz w:val="21"/>
                <w:szCs w:val="21"/>
              </w:rPr>
            </w:pPr>
            <w:r>
              <w:rPr>
                <w:rFonts w:hint="eastAsia" w:ascii="黑体" w:hAnsi="黑体" w:eastAsia="黑体" w:cs="Times New Roman"/>
                <w:kern w:val="0"/>
                <w:sz w:val="21"/>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s="Times New Roman"/>
                <w:sz w:val="21"/>
                <w:szCs w:val="21"/>
              </w:rPr>
            </w:pPr>
            <w:r>
              <w:rPr>
                <w:rFonts w:hint="eastAsia" w:ascii="黑体" w:hAnsi="黑体" w:eastAsia="黑体" w:cs="Times New Roman"/>
                <w:kern w:val="0"/>
                <w:sz w:val="21"/>
                <w:szCs w:val="21"/>
              </w:rPr>
              <w:t>一、</w:t>
            </w:r>
            <w:bookmarkStart w:id="1" w:name="_Hlk66973412"/>
            <w:r>
              <w:rPr>
                <w:rFonts w:hint="eastAsia" w:ascii="黑体" w:hAnsi="黑体" w:eastAsia="黑体" w:cs="Times New Roman"/>
                <w:kern w:val="0"/>
                <w:sz w:val="21"/>
                <w:szCs w:val="21"/>
              </w:rPr>
              <w:t>本年新收政府信息公开申请数量</w:t>
            </w:r>
            <w:bookmarkEnd w:id="1"/>
          </w:p>
        </w:tc>
        <w:tc>
          <w:tcPr>
            <w:tcW w:w="829"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hAnsi="Times New Roman" w:cs="Times New Roman"/>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s="Times New Roman"/>
                <w:sz w:val="21"/>
                <w:szCs w:val="21"/>
              </w:rPr>
            </w:pPr>
            <w:r>
              <w:rPr>
                <w:rFonts w:hint="eastAsia" w:ascii="黑体" w:hAnsi="黑体" w:eastAsia="黑体" w:cs="Times New Roman"/>
                <w:kern w:val="0"/>
                <w:sz w:val="21"/>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cs="Times New Roman"/>
                <w:sz w:val="21"/>
                <w:szCs w:val="21"/>
                <w:lang w:val="en-US" w:eastAsia="zh-CN"/>
              </w:rPr>
            </w:pPr>
            <w:r>
              <w:rPr>
                <w:rFonts w:hint="eastAsia" w:ascii="仿宋_GB2312" w:cs="Times New Roman"/>
                <w:sz w:val="21"/>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sz w:val="21"/>
                <w:szCs w:val="21"/>
                <w:lang w:val="en-US" w:eastAsia="zh-CN"/>
              </w:rPr>
            </w:pPr>
            <w:r>
              <w:rPr>
                <w:rFonts w:hint="eastAsia" w:ascii="仿宋_GB2312" w:cs="Times New Roman"/>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s="Times New Roman"/>
                <w:sz w:val="21"/>
                <w:szCs w:val="21"/>
              </w:rPr>
            </w:pPr>
            <w:r>
              <w:rPr>
                <w:rFonts w:hint="eastAsia" w:ascii="黑体" w:hAnsi="黑体" w:eastAsia="黑体" w:cs="Times New Roman"/>
                <w:kern w:val="0"/>
                <w:sz w:val="21"/>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s="Times New Roman"/>
                <w:sz w:val="21"/>
                <w:szCs w:val="21"/>
              </w:rPr>
            </w:pPr>
            <w:r>
              <w:rPr>
                <w:rFonts w:hint="eastAsia" w:ascii="黑体" w:hAnsi="黑体" w:eastAsia="黑体" w:cs="Times New Roman"/>
                <w:kern w:val="0"/>
                <w:sz w:val="21"/>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sz w:val="21"/>
                <w:szCs w:val="21"/>
                <w:lang w:val="en-US" w:eastAsia="zh-CN"/>
              </w:rPr>
            </w:pPr>
            <w:r>
              <w:rPr>
                <w:rFonts w:hint="eastAsia" w:ascii="仿宋_GB2312" w:cs="Times New Roman"/>
                <w:sz w:val="21"/>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sz w:val="21"/>
                <w:szCs w:val="21"/>
                <w:lang w:val="en-US" w:eastAsia="zh-CN"/>
              </w:rPr>
            </w:pPr>
            <w:r>
              <w:rPr>
                <w:rFonts w:hint="eastAsia" w:ascii="仿宋_GB2312" w:cs="Times New Roman"/>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4677" w:type="dxa"/>
            <w:gridSpan w:val="2"/>
            <w:shd w:val="clear" w:color="auto" w:fill="auto"/>
            <w:tcMar>
              <w:left w:w="108" w:type="dxa"/>
              <w:right w:w="108" w:type="dxa"/>
            </w:tcMar>
            <w:vAlign w:val="center"/>
          </w:tcPr>
          <w:p>
            <w:pPr>
              <w:widowControl/>
              <w:rPr>
                <w:rFonts w:ascii="黑体" w:hAnsi="黑体" w:eastAsia="黑体" w:cs="Times New Roman"/>
                <w:sz w:val="21"/>
                <w:szCs w:val="21"/>
              </w:rPr>
            </w:pPr>
            <w:r>
              <w:rPr>
                <w:rFonts w:hint="eastAsia" w:ascii="黑体" w:hAnsi="黑体" w:eastAsia="黑体" w:cs="Times New Roman"/>
                <w:kern w:val="0"/>
                <w:sz w:val="21"/>
                <w:szCs w:val="21"/>
              </w:rPr>
              <w:t>（二）部分公开（</w:t>
            </w:r>
            <w:bookmarkStart w:id="2" w:name="_Hlk66973981"/>
            <w:r>
              <w:rPr>
                <w:rFonts w:hint="eastAsia" w:ascii="黑体" w:hAnsi="黑体" w:eastAsia="黑体" w:cs="Times New Roman"/>
                <w:kern w:val="0"/>
                <w:sz w:val="21"/>
                <w:szCs w:val="21"/>
              </w:rPr>
              <w:t>区分处理的，只计这一情形，不计其他情形</w:t>
            </w:r>
            <w:bookmarkEnd w:id="2"/>
            <w:r>
              <w:rPr>
                <w:rFonts w:hint="eastAsia" w:ascii="黑体" w:hAnsi="黑体" w:eastAsia="黑体" w:cs="Times New Roman"/>
                <w:kern w:val="0"/>
                <w:sz w:val="21"/>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restart"/>
            <w:shd w:val="clear" w:color="auto" w:fill="auto"/>
            <w:tcMar>
              <w:left w:w="108" w:type="dxa"/>
              <w:right w:w="108" w:type="dxa"/>
            </w:tcMar>
            <w:vAlign w:val="center"/>
          </w:tcPr>
          <w:p>
            <w:pPr>
              <w:widowControl/>
              <w:spacing w:line="200" w:lineRule="exact"/>
              <w:ind w:left="-161" w:leftChars="-51"/>
              <w:rPr>
                <w:rFonts w:ascii="黑体" w:hAnsi="黑体" w:eastAsia="黑体" w:cs="Times New Roman"/>
                <w:sz w:val="21"/>
                <w:szCs w:val="21"/>
              </w:rPr>
            </w:pPr>
            <w:r>
              <w:rPr>
                <w:rFonts w:hint="eastAsia" w:ascii="黑体" w:hAnsi="黑体" w:eastAsia="黑体" w:cs="Times New Roman"/>
                <w:kern w:val="0"/>
                <w:sz w:val="21"/>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2.</w:t>
            </w:r>
            <w:bookmarkStart w:id="3" w:name="_Hlk66974104"/>
            <w:r>
              <w:rPr>
                <w:rFonts w:hint="eastAsia" w:ascii="仿宋_GB2312" w:hAnsi="黑体" w:eastAsia="仿宋_GB2312" w:cs="Times New Roman"/>
                <w:kern w:val="0"/>
                <w:sz w:val="21"/>
                <w:szCs w:val="21"/>
              </w:rPr>
              <w:t>其他法律行政法规禁止公开</w:t>
            </w:r>
            <w:bookmarkEnd w:id="3"/>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4.</w:t>
            </w:r>
            <w:bookmarkStart w:id="4" w:name="_Hlk66974290"/>
            <w:r>
              <w:rPr>
                <w:rFonts w:hint="eastAsia" w:ascii="仿宋_GB2312" w:hAnsi="黑体" w:eastAsia="仿宋_GB2312" w:cs="Times New Roman"/>
                <w:kern w:val="0"/>
                <w:sz w:val="21"/>
                <w:szCs w:val="21"/>
              </w:rPr>
              <w:t>保护第三方合法权益</w:t>
            </w:r>
            <w:bookmarkEnd w:id="4"/>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6.</w:t>
            </w:r>
            <w:bookmarkStart w:id="5" w:name="_Hlk66974555"/>
            <w:r>
              <w:rPr>
                <w:rFonts w:hint="eastAsia" w:ascii="仿宋_GB2312" w:hAnsi="黑体" w:eastAsia="仿宋_GB2312" w:cs="Times New Roman"/>
                <w:kern w:val="0"/>
                <w:sz w:val="21"/>
                <w:szCs w:val="21"/>
              </w:rPr>
              <w:t>属于四类过程性信息</w:t>
            </w:r>
            <w:bookmarkEnd w:id="5"/>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8.</w:t>
            </w:r>
            <w:bookmarkStart w:id="6" w:name="_Hlk66975211"/>
            <w:r>
              <w:rPr>
                <w:rFonts w:hint="eastAsia" w:ascii="仿宋_GB2312" w:hAnsi="黑体" w:eastAsia="仿宋_GB2312" w:cs="Times New Roman"/>
                <w:kern w:val="0"/>
                <w:sz w:val="21"/>
                <w:szCs w:val="21"/>
              </w:rPr>
              <w:t>属于行政查询事项</w:t>
            </w:r>
            <w:bookmarkEnd w:id="6"/>
          </w:p>
        </w:tc>
        <w:tc>
          <w:tcPr>
            <w:tcW w:w="829"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restart"/>
            <w:shd w:val="clear" w:color="auto" w:fill="auto"/>
            <w:tcMar>
              <w:left w:w="108" w:type="dxa"/>
              <w:right w:w="108" w:type="dxa"/>
            </w:tcMar>
            <w:vAlign w:val="center"/>
          </w:tcPr>
          <w:p>
            <w:pPr>
              <w:widowControl/>
              <w:spacing w:line="200" w:lineRule="exact"/>
              <w:ind w:left="-161" w:leftChars="-51"/>
              <w:rPr>
                <w:rFonts w:ascii="黑体" w:hAnsi="黑体" w:eastAsia="黑体" w:cs="Times New Roman"/>
                <w:sz w:val="21"/>
                <w:szCs w:val="21"/>
              </w:rPr>
            </w:pPr>
            <w:r>
              <w:rPr>
                <w:rFonts w:hint="eastAsia" w:ascii="黑体" w:hAnsi="黑体" w:eastAsia="黑体" w:cs="Times New Roman"/>
                <w:kern w:val="0"/>
                <w:sz w:val="21"/>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ind w:left="-161" w:leftChars="-51"/>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2.</w:t>
            </w:r>
            <w:bookmarkStart w:id="7" w:name="_Hlk66975392"/>
            <w:r>
              <w:rPr>
                <w:rFonts w:hint="eastAsia" w:ascii="仿宋_GB2312" w:hAnsi="黑体" w:eastAsia="仿宋_GB2312" w:cs="Times New Roman"/>
                <w:kern w:val="0"/>
                <w:sz w:val="21"/>
                <w:szCs w:val="21"/>
              </w:rPr>
              <w:t>没有现成信息需要另行制作</w:t>
            </w:r>
            <w:bookmarkEnd w:id="7"/>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ind w:left="-161" w:leftChars="-51"/>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3.</w:t>
            </w:r>
            <w:bookmarkStart w:id="8" w:name="_Hlk66975466"/>
            <w:r>
              <w:rPr>
                <w:rFonts w:hint="eastAsia" w:ascii="仿宋_GB2312" w:hAnsi="黑体" w:eastAsia="仿宋_GB2312" w:cs="Times New Roman"/>
                <w:kern w:val="0"/>
                <w:sz w:val="21"/>
                <w:szCs w:val="21"/>
              </w:rPr>
              <w:t>补正后申请内容仍不明确</w:t>
            </w:r>
            <w:bookmarkEnd w:id="8"/>
          </w:p>
        </w:tc>
        <w:tc>
          <w:tcPr>
            <w:tcW w:w="829"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restart"/>
            <w:shd w:val="clear" w:color="auto" w:fill="auto"/>
            <w:tcMar>
              <w:left w:w="108" w:type="dxa"/>
              <w:right w:w="108" w:type="dxa"/>
            </w:tcMar>
            <w:vAlign w:val="center"/>
          </w:tcPr>
          <w:p>
            <w:pPr>
              <w:widowControl/>
              <w:spacing w:line="200" w:lineRule="exact"/>
              <w:ind w:left="-161" w:leftChars="-51"/>
              <w:rPr>
                <w:rFonts w:ascii="黑体" w:hAnsi="黑体" w:eastAsia="黑体" w:cs="Times New Roman"/>
                <w:sz w:val="21"/>
                <w:szCs w:val="21"/>
              </w:rPr>
            </w:pPr>
            <w:r>
              <w:rPr>
                <w:rFonts w:hint="eastAsia" w:ascii="黑体" w:hAnsi="黑体" w:eastAsia="黑体" w:cs="Times New Roman"/>
                <w:kern w:val="0"/>
                <w:sz w:val="21"/>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1.</w:t>
            </w:r>
            <w:bookmarkStart w:id="9" w:name="_Hlk66975537"/>
            <w:r>
              <w:rPr>
                <w:rFonts w:hint="eastAsia" w:ascii="仿宋_GB2312" w:hAnsi="黑体" w:eastAsia="仿宋_GB2312" w:cs="Times New Roman"/>
                <w:kern w:val="0"/>
                <w:sz w:val="21"/>
                <w:szCs w:val="21"/>
              </w:rPr>
              <w:t>信访举报投诉类申请</w:t>
            </w:r>
            <w:bookmarkEnd w:id="9"/>
          </w:p>
        </w:tc>
        <w:tc>
          <w:tcPr>
            <w:tcW w:w="829"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sz w:val="21"/>
                <w:szCs w:val="21"/>
              </w:rPr>
            </w:pPr>
            <w:r>
              <w:rPr>
                <w:rFonts w:hint="eastAsia" w:ascii="仿宋_GB2312" w:hAnsi="黑体" w:eastAsia="仿宋_GB2312" w:cs="Times New Roman"/>
                <w:kern w:val="0"/>
                <w:sz w:val="21"/>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sz w:val="21"/>
                <w:szCs w:val="21"/>
              </w:rPr>
            </w:pPr>
            <w:r>
              <w:rPr>
                <w:rFonts w:hint="eastAsia" w:ascii="仿宋_GB2312" w:hAnsi="黑体" w:eastAsia="仿宋_GB2312" w:cs="Times New Roman"/>
                <w:kern w:val="0"/>
                <w:sz w:val="21"/>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 w:val="21"/>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5.要求行政机关确认或重新</w:t>
            </w:r>
          </w:p>
          <w:p>
            <w:pPr>
              <w:widowControl/>
              <w:spacing w:line="300" w:lineRule="exact"/>
              <w:ind w:firstLine="206" w:firstLineChars="100"/>
              <w:rPr>
                <w:rFonts w:ascii="仿宋_GB2312" w:hAnsi="黑体" w:eastAsia="仿宋_GB2312" w:cs="Times New Roman"/>
                <w:sz w:val="21"/>
                <w:szCs w:val="21"/>
              </w:rPr>
            </w:pPr>
            <w:r>
              <w:rPr>
                <w:rFonts w:hint="eastAsia" w:ascii="仿宋_GB2312" w:hAnsi="黑体" w:eastAsia="仿宋_GB2312" w:cs="Times New Roman"/>
                <w:kern w:val="0"/>
                <w:sz w:val="21"/>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s="Times New Roman"/>
                <w:kern w:val="0"/>
                <w:sz w:val="21"/>
                <w:szCs w:val="21"/>
              </w:rPr>
            </w:pPr>
            <w:r>
              <w:rPr>
                <w:rFonts w:hint="eastAsia" w:ascii="黑体" w:hAnsi="黑体" w:eastAsia="黑体" w:cs="Times New Roman"/>
                <w:kern w:val="0"/>
                <w:sz w:val="21"/>
                <w:szCs w:val="21"/>
              </w:rPr>
              <w:t>（六）其他处理</w:t>
            </w:r>
          </w:p>
        </w:tc>
        <w:tc>
          <w:tcPr>
            <w:tcW w:w="2976" w:type="dxa"/>
            <w:shd w:val="clear" w:color="auto" w:fill="auto"/>
            <w:vAlign w:val="center"/>
          </w:tcPr>
          <w:p>
            <w:pPr>
              <w:widowControl/>
              <w:spacing w:line="300" w:lineRule="exact"/>
              <w:rPr>
                <w:rFonts w:ascii="仿宋_GB2312" w:hAnsi="楷体" w:eastAsia="仿宋_GB2312" w:cs="Times New Roman"/>
                <w:sz w:val="21"/>
                <w:szCs w:val="22"/>
              </w:rPr>
            </w:pPr>
            <w:r>
              <w:rPr>
                <w:rFonts w:hint="eastAsia" w:ascii="仿宋_GB2312" w:hAnsi="楷体" w:eastAsia="仿宋_GB2312" w:cs="Times New Roman"/>
                <w:sz w:val="21"/>
                <w:szCs w:val="2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s="Times New Roman"/>
                <w:kern w:val="0"/>
                <w:sz w:val="21"/>
                <w:szCs w:val="21"/>
              </w:rPr>
            </w:pPr>
          </w:p>
        </w:tc>
        <w:tc>
          <w:tcPr>
            <w:tcW w:w="2976" w:type="dxa"/>
            <w:shd w:val="clear" w:color="auto" w:fill="auto"/>
            <w:vAlign w:val="center"/>
          </w:tcPr>
          <w:p>
            <w:pPr>
              <w:widowControl/>
              <w:spacing w:line="300" w:lineRule="exact"/>
              <w:rPr>
                <w:rFonts w:ascii="仿宋_GB2312" w:hAnsi="黑体" w:eastAsia="仿宋_GB2312" w:cs="Times New Roman"/>
                <w:kern w:val="0"/>
                <w:sz w:val="21"/>
                <w:szCs w:val="21"/>
              </w:rPr>
            </w:pPr>
            <w:r>
              <w:rPr>
                <w:rFonts w:hint="eastAsia" w:ascii="仿宋_GB2312" w:hAnsi="楷体" w:eastAsia="仿宋_GB2312" w:cs="Times New Roman"/>
                <w:sz w:val="21"/>
                <w:szCs w:val="2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s="Times New Roman"/>
                <w:kern w:val="0"/>
                <w:sz w:val="21"/>
                <w:szCs w:val="21"/>
              </w:rPr>
            </w:pPr>
          </w:p>
        </w:tc>
        <w:tc>
          <w:tcPr>
            <w:tcW w:w="2976" w:type="dxa"/>
            <w:shd w:val="clear" w:color="auto" w:fill="auto"/>
            <w:vAlign w:val="center"/>
          </w:tcPr>
          <w:p>
            <w:pPr>
              <w:widowControl/>
              <w:spacing w:line="300" w:lineRule="exact"/>
              <w:rPr>
                <w:rFonts w:ascii="仿宋_GB2312" w:hAnsi="黑体" w:eastAsia="仿宋_GB2312" w:cs="Times New Roman"/>
                <w:kern w:val="0"/>
                <w:sz w:val="21"/>
                <w:szCs w:val="21"/>
              </w:rPr>
            </w:pPr>
            <w:r>
              <w:rPr>
                <w:rFonts w:hint="eastAsia" w:ascii="仿宋_GB2312" w:hAnsi="楷体" w:eastAsia="仿宋_GB2312" w:cs="Times New Roman"/>
                <w:sz w:val="21"/>
                <w:szCs w:val="2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s="Times New Roman"/>
                <w:sz w:val="21"/>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s="Times New Roman"/>
                <w:kern w:val="0"/>
                <w:sz w:val="21"/>
                <w:szCs w:val="21"/>
              </w:rPr>
            </w:pPr>
            <w:r>
              <w:rPr>
                <w:rFonts w:hint="eastAsia" w:ascii="黑体" w:hAnsi="黑体" w:eastAsia="黑体" w:cs="Times New Roman"/>
                <w:kern w:val="0"/>
                <w:sz w:val="21"/>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sz w:val="21"/>
                <w:szCs w:val="21"/>
                <w:lang w:val="en-US" w:eastAsia="zh-CN"/>
              </w:rPr>
            </w:pPr>
            <w:r>
              <w:rPr>
                <w:rFonts w:hint="eastAsia" w:ascii="仿宋_GB2312" w:cs="Times New Roman"/>
                <w:sz w:val="21"/>
                <w:szCs w:val="21"/>
                <w:lang w:val="en-US" w:eastAsia="zh-CN"/>
              </w:rPr>
              <w:t>3</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sz w:val="21"/>
                <w:szCs w:val="21"/>
                <w:lang w:val="en-US" w:eastAsia="zh-CN"/>
              </w:rPr>
            </w:pPr>
            <w:r>
              <w:rPr>
                <w:rFonts w:hint="eastAsia" w:ascii="仿宋_GB2312" w:cs="Times New Roman"/>
                <w:sz w:val="21"/>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s="Times New Roman"/>
                <w:kern w:val="0"/>
                <w:sz w:val="21"/>
                <w:szCs w:val="21"/>
              </w:rPr>
            </w:pPr>
            <w:r>
              <w:rPr>
                <w:rFonts w:hint="eastAsia" w:ascii="黑体" w:hAnsi="黑体" w:eastAsia="黑体" w:cs="Times New Roman"/>
                <w:kern w:val="0"/>
                <w:sz w:val="21"/>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 w:val="21"/>
                <w:szCs w:val="21"/>
                <w:lang w:val="en-US" w:eastAsia="zh-CN"/>
              </w:rPr>
            </w:pPr>
            <w:r>
              <w:rPr>
                <w:rFonts w:hint="eastAsia" w:ascii="仿宋_GB2312" w:cs="Times New Roman"/>
                <w:sz w:val="21"/>
                <w:szCs w:val="21"/>
                <w:lang w:val="en-US" w:eastAsia="zh-CN"/>
              </w:rPr>
              <w:t>0</w:t>
            </w:r>
          </w:p>
        </w:tc>
      </w:tr>
    </w:tbl>
    <w:p>
      <w:pPr>
        <w:pStyle w:val="16"/>
        <w:rPr>
          <w:rFonts w:hint="eastAsia"/>
          <w:lang w:val="en-US" w:eastAsia="zh-CN"/>
        </w:rPr>
      </w:pPr>
      <w:r>
        <w:rPr>
          <w:rFonts w:ascii="黑体" w:hAnsi="宋体" w:eastAsia="黑体" w:cs="黑体"/>
          <w:i w:val="0"/>
          <w:iCs w:val="0"/>
          <w:caps w:val="0"/>
          <w:color w:val="00000A"/>
          <w:spacing w:val="-2"/>
          <w:sz w:val="32"/>
          <w:szCs w:val="32"/>
          <w:shd w:val="clear" w:fill="FFFFFF"/>
        </w:rPr>
        <w:t>四、政府信息公开行政复议、行政诉讼情况</w:t>
      </w:r>
    </w:p>
    <w:p>
      <w:pPr>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因政府信息公开工作被申请行政复议、提起</w:t>
      </w:r>
    </w:p>
    <w:p>
      <w:pPr>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行政诉讼情况统计表</w:t>
      </w:r>
    </w:p>
    <w:p>
      <w:pPr>
        <w:jc w:val="center"/>
        <w:rPr>
          <w:rFonts w:ascii="仿宋_GB2312" w:hAnsi="等线" w:eastAsia="仿宋_GB2312" w:cs="Times New Roman"/>
          <w:sz w:val="32"/>
          <w:szCs w:val="32"/>
        </w:rPr>
      </w:pPr>
    </w:p>
    <w:tbl>
      <w:tblPr>
        <w:tblStyle w:val="12"/>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s="Times New Roman"/>
                <w:sz w:val="21"/>
                <w:szCs w:val="22"/>
              </w:rPr>
            </w:pPr>
            <w:r>
              <w:rPr>
                <w:rFonts w:ascii="黑体" w:hAnsi="黑体"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s="Times New Roman"/>
                <w:sz w:val="21"/>
                <w:szCs w:val="22"/>
              </w:rPr>
            </w:pPr>
            <w:r>
              <w:rPr>
                <w:rFonts w:ascii="黑体" w:hAnsi="黑体"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224" w:leftChars="-71" w:right="-255" w:rightChars="-81"/>
              <w:jc w:val="center"/>
              <w:rPr>
                <w:rFonts w:ascii="黑体" w:hAnsi="黑体" w:eastAsia="黑体" w:cs="Times New Roman"/>
                <w:kern w:val="0"/>
                <w:sz w:val="20"/>
                <w:szCs w:val="20"/>
              </w:rPr>
            </w:pPr>
            <w:r>
              <w:rPr>
                <w:rFonts w:ascii="黑体" w:hAnsi="黑体" w:eastAsia="黑体" w:cs="Times New Roman"/>
                <w:kern w:val="0"/>
                <w:sz w:val="20"/>
                <w:szCs w:val="20"/>
              </w:rPr>
              <w:t>结果</w:t>
            </w:r>
          </w:p>
          <w:p>
            <w:pPr>
              <w:widowControl/>
              <w:ind w:left="-224" w:leftChars="-71" w:right="-255" w:rightChars="-81"/>
              <w:jc w:val="center"/>
              <w:rPr>
                <w:rFonts w:ascii="黑体" w:hAnsi="黑体" w:eastAsia="黑体" w:cs="Times New Roman"/>
                <w:sz w:val="21"/>
                <w:szCs w:val="22"/>
              </w:rPr>
            </w:pPr>
            <w:r>
              <w:rPr>
                <w:rFonts w:ascii="黑体" w:hAnsi="黑体"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65" w:leftChars="-21" w:right="-199" w:rightChars="-63" w:hanging="1"/>
              <w:jc w:val="center"/>
              <w:rPr>
                <w:rFonts w:ascii="黑体" w:hAnsi="黑体" w:eastAsia="黑体" w:cs="Times New Roman"/>
                <w:sz w:val="21"/>
                <w:szCs w:val="22"/>
              </w:rPr>
            </w:pPr>
            <w:r>
              <w:rPr>
                <w:rFonts w:ascii="黑体" w:hAnsi="黑体"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3" w:leftChars="-39" w:right="-145" w:rightChars="-46"/>
              <w:jc w:val="center"/>
              <w:rPr>
                <w:rFonts w:ascii="黑体" w:hAnsi="黑体" w:eastAsia="黑体" w:cs="Times New Roman"/>
                <w:sz w:val="21"/>
                <w:szCs w:val="22"/>
              </w:rPr>
            </w:pPr>
            <w:r>
              <w:rPr>
                <w:rFonts w:ascii="黑体" w:hAnsi="黑体"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6" w:leftChars="-56" w:right="-176" w:rightChars="-56"/>
              <w:jc w:val="center"/>
              <w:rPr>
                <w:rFonts w:ascii="黑体" w:hAnsi="黑体" w:eastAsia="黑体" w:cs="Times New Roman"/>
                <w:kern w:val="0"/>
                <w:sz w:val="20"/>
                <w:szCs w:val="20"/>
              </w:rPr>
            </w:pPr>
            <w:r>
              <w:rPr>
                <w:rFonts w:ascii="黑体" w:hAnsi="黑体" w:eastAsia="黑体" w:cs="Times New Roman"/>
                <w:kern w:val="0"/>
                <w:sz w:val="20"/>
                <w:szCs w:val="20"/>
              </w:rPr>
              <w:t>尚未</w:t>
            </w:r>
          </w:p>
          <w:p>
            <w:pPr>
              <w:widowControl/>
              <w:ind w:left="-176" w:leftChars="-56" w:right="-176" w:rightChars="-56"/>
              <w:jc w:val="center"/>
              <w:rPr>
                <w:rFonts w:ascii="黑体" w:hAnsi="黑体" w:eastAsia="黑体" w:cs="Times New Roman"/>
                <w:sz w:val="21"/>
                <w:szCs w:val="22"/>
              </w:rPr>
            </w:pPr>
            <w:r>
              <w:rPr>
                <w:rFonts w:ascii="黑体" w:hAnsi="黑体"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s="Times New Roman"/>
                <w:kern w:val="0"/>
                <w:sz w:val="20"/>
                <w:szCs w:val="20"/>
              </w:rPr>
            </w:pPr>
            <w:r>
              <w:rPr>
                <w:rFonts w:ascii="黑体" w:hAnsi="黑体" w:eastAsia="黑体" w:cs="Times New Roman"/>
                <w:kern w:val="0"/>
                <w:sz w:val="20"/>
                <w:szCs w:val="20"/>
              </w:rPr>
              <w:t>总</w:t>
            </w:r>
          </w:p>
          <w:p>
            <w:pPr>
              <w:widowControl/>
              <w:spacing w:line="320" w:lineRule="exact"/>
              <w:jc w:val="center"/>
              <w:rPr>
                <w:rFonts w:ascii="黑体" w:hAnsi="黑体" w:eastAsia="黑体" w:cs="Times New Roman"/>
                <w:sz w:val="21"/>
                <w:szCs w:val="22"/>
              </w:rPr>
            </w:pPr>
            <w:r>
              <w:rPr>
                <w:rFonts w:ascii="黑体" w:hAnsi="黑体"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s="Times New Roman"/>
                <w:sz w:val="21"/>
                <w:szCs w:val="22"/>
              </w:rPr>
            </w:pPr>
            <w:r>
              <w:rPr>
                <w:rFonts w:ascii="黑体" w:hAnsi="黑体"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s="Times New Roman"/>
                <w:sz w:val="21"/>
                <w:szCs w:val="22"/>
              </w:rPr>
            </w:pPr>
            <w:bookmarkStart w:id="10" w:name="_Hlk67039688"/>
            <w:r>
              <w:rPr>
                <w:rFonts w:ascii="黑体" w:hAnsi="黑体" w:eastAsia="黑体" w:cs="Times New Roman"/>
                <w:kern w:val="0"/>
                <w:sz w:val="20"/>
                <w:szCs w:val="20"/>
              </w:rPr>
              <w:t>复议后起诉</w:t>
            </w:r>
            <w:bookmarkEnd w:id="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s="Times New Roman"/>
                <w:sz w:val="24"/>
                <w:szCs w:val="22"/>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s="Times New Roman"/>
                <w:sz w:val="24"/>
                <w:szCs w:val="22"/>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s="Times New Roman"/>
                <w:sz w:val="24"/>
                <w:szCs w:val="22"/>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s="Times New Roman"/>
                <w:sz w:val="24"/>
                <w:szCs w:val="22"/>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s="Times New Roman"/>
                <w:sz w:val="24"/>
                <w:szCs w:val="22"/>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58" w:leftChars="-50" w:right="-189" w:rightChars="-60"/>
              <w:jc w:val="center"/>
              <w:rPr>
                <w:rFonts w:ascii="黑体" w:hAnsi="黑体" w:eastAsia="黑体" w:cs="Times New Roman"/>
                <w:sz w:val="21"/>
                <w:szCs w:val="22"/>
              </w:rPr>
            </w:pPr>
            <w:r>
              <w:rPr>
                <w:rFonts w:ascii="黑体" w:hAnsi="黑体"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29" w:leftChars="-41" w:right="-132" w:rightChars="-42"/>
              <w:jc w:val="center"/>
              <w:rPr>
                <w:rFonts w:ascii="黑体" w:hAnsi="黑体" w:eastAsia="黑体" w:cs="Times New Roman"/>
                <w:sz w:val="21"/>
                <w:szCs w:val="22"/>
              </w:rPr>
            </w:pPr>
            <w:r>
              <w:rPr>
                <w:rFonts w:ascii="黑体" w:hAnsi="黑体"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89" w:leftChars="-60" w:right="-205" w:rightChars="-65"/>
              <w:jc w:val="center"/>
              <w:rPr>
                <w:rFonts w:ascii="黑体" w:hAnsi="黑体" w:eastAsia="黑体" w:cs="Times New Roman"/>
                <w:kern w:val="0"/>
                <w:sz w:val="20"/>
                <w:szCs w:val="20"/>
              </w:rPr>
            </w:pPr>
            <w:r>
              <w:rPr>
                <w:rFonts w:ascii="黑体" w:hAnsi="黑体" w:eastAsia="黑体" w:cs="Times New Roman"/>
                <w:kern w:val="0"/>
                <w:sz w:val="20"/>
                <w:szCs w:val="20"/>
              </w:rPr>
              <w:t>其他</w:t>
            </w:r>
          </w:p>
          <w:p>
            <w:pPr>
              <w:widowControl/>
              <w:ind w:left="-189" w:leftChars="-60" w:right="-205" w:rightChars="-65"/>
              <w:jc w:val="center"/>
              <w:rPr>
                <w:rFonts w:ascii="黑体" w:hAnsi="黑体" w:eastAsia="黑体" w:cs="Times New Roman"/>
                <w:sz w:val="21"/>
                <w:szCs w:val="22"/>
              </w:rPr>
            </w:pPr>
            <w:r>
              <w:rPr>
                <w:rFonts w:ascii="黑体" w:hAnsi="黑体"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246" w:leftChars="-78" w:right="-230" w:rightChars="-73"/>
              <w:jc w:val="center"/>
              <w:rPr>
                <w:rFonts w:ascii="黑体" w:hAnsi="黑体" w:eastAsia="黑体" w:cs="Times New Roman"/>
                <w:kern w:val="0"/>
                <w:sz w:val="20"/>
                <w:szCs w:val="20"/>
              </w:rPr>
            </w:pPr>
            <w:r>
              <w:rPr>
                <w:rFonts w:ascii="黑体" w:hAnsi="黑体" w:eastAsia="黑体" w:cs="Times New Roman"/>
                <w:kern w:val="0"/>
                <w:sz w:val="20"/>
                <w:szCs w:val="20"/>
              </w:rPr>
              <w:t>尚未</w:t>
            </w:r>
          </w:p>
          <w:p>
            <w:pPr>
              <w:widowControl/>
              <w:ind w:left="-246" w:leftChars="-78" w:right="-230" w:rightChars="-73"/>
              <w:jc w:val="center"/>
              <w:rPr>
                <w:rFonts w:ascii="黑体" w:hAnsi="黑体" w:eastAsia="黑体" w:cs="Times New Roman"/>
                <w:sz w:val="21"/>
                <w:szCs w:val="22"/>
              </w:rPr>
            </w:pPr>
            <w:r>
              <w:rPr>
                <w:rFonts w:ascii="黑体" w:hAnsi="黑体"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s="Times New Roman"/>
                <w:sz w:val="21"/>
                <w:szCs w:val="22"/>
              </w:rPr>
            </w:pPr>
            <w:r>
              <w:rPr>
                <w:rFonts w:ascii="黑体" w:hAnsi="黑体"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48" w:leftChars="-47" w:right="-116" w:rightChars="-37"/>
              <w:jc w:val="center"/>
              <w:rPr>
                <w:rFonts w:ascii="黑体" w:hAnsi="黑体" w:eastAsia="黑体" w:cs="Times New Roman"/>
                <w:sz w:val="21"/>
                <w:szCs w:val="22"/>
              </w:rPr>
            </w:pPr>
            <w:r>
              <w:rPr>
                <w:rFonts w:ascii="黑体" w:hAnsi="黑体"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205" w:leftChars="-65" w:right="-186" w:rightChars="-59"/>
              <w:jc w:val="center"/>
              <w:rPr>
                <w:rFonts w:ascii="黑体" w:hAnsi="黑体" w:eastAsia="黑体" w:cs="Times New Roman"/>
                <w:kern w:val="0"/>
                <w:sz w:val="20"/>
                <w:szCs w:val="20"/>
              </w:rPr>
            </w:pPr>
            <w:r>
              <w:rPr>
                <w:rFonts w:ascii="黑体" w:hAnsi="黑体" w:eastAsia="黑体" w:cs="Times New Roman"/>
                <w:kern w:val="0"/>
                <w:sz w:val="20"/>
                <w:szCs w:val="20"/>
              </w:rPr>
              <w:t>结果</w:t>
            </w:r>
          </w:p>
          <w:p>
            <w:pPr>
              <w:widowControl/>
              <w:ind w:left="-205" w:leftChars="-65" w:right="-186" w:rightChars="-59"/>
              <w:jc w:val="center"/>
              <w:rPr>
                <w:rFonts w:ascii="黑体" w:hAnsi="黑体" w:eastAsia="黑体" w:cs="Times New Roman"/>
                <w:sz w:val="21"/>
                <w:szCs w:val="22"/>
              </w:rPr>
            </w:pPr>
            <w:r>
              <w:rPr>
                <w:rFonts w:ascii="黑体" w:hAnsi="黑体"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261" w:leftChars="-83" w:right="-202" w:rightChars="-64" w:hanging="1"/>
              <w:jc w:val="center"/>
              <w:rPr>
                <w:rFonts w:ascii="黑体" w:hAnsi="黑体" w:eastAsia="黑体" w:cs="Times New Roman"/>
                <w:kern w:val="0"/>
                <w:sz w:val="20"/>
                <w:szCs w:val="20"/>
              </w:rPr>
            </w:pPr>
            <w:r>
              <w:rPr>
                <w:rFonts w:ascii="黑体" w:hAnsi="黑体" w:eastAsia="黑体" w:cs="Times New Roman"/>
                <w:kern w:val="0"/>
                <w:sz w:val="20"/>
                <w:szCs w:val="20"/>
              </w:rPr>
              <w:t>其他</w:t>
            </w:r>
          </w:p>
          <w:p>
            <w:pPr>
              <w:widowControl/>
              <w:ind w:left="-261" w:leftChars="-83" w:right="-202" w:rightChars="-64" w:hanging="1"/>
              <w:jc w:val="center"/>
              <w:rPr>
                <w:rFonts w:ascii="黑体" w:hAnsi="黑体" w:eastAsia="黑体" w:cs="Times New Roman"/>
                <w:sz w:val="21"/>
                <w:szCs w:val="22"/>
              </w:rPr>
            </w:pPr>
            <w:r>
              <w:rPr>
                <w:rFonts w:ascii="黑体" w:hAnsi="黑体"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02" w:leftChars="-33" w:right="-158" w:rightChars="-50" w:hanging="2" w:hangingChars="1"/>
              <w:jc w:val="center"/>
              <w:rPr>
                <w:rFonts w:ascii="黑体" w:hAnsi="黑体" w:eastAsia="黑体" w:cs="Times New Roman"/>
                <w:sz w:val="21"/>
                <w:szCs w:val="22"/>
              </w:rPr>
            </w:pPr>
            <w:r>
              <w:rPr>
                <w:rFonts w:ascii="黑体" w:hAnsi="黑体"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s="Times New Roman"/>
                <w:sz w:val="21"/>
                <w:szCs w:val="22"/>
              </w:rPr>
            </w:pPr>
            <w:r>
              <w:rPr>
                <w:rFonts w:ascii="黑体" w:hAnsi="黑体"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等线" w:cs="Times New Roman"/>
                <w:sz w:val="21"/>
                <w:szCs w:val="22"/>
                <w:lang w:val="en-US" w:eastAsia="zh-CN"/>
              </w:rPr>
            </w:pPr>
            <w:r>
              <w:rPr>
                <w:rFonts w:hint="eastAsia" w:eastAsia="等线" w:cs="Times New Roman"/>
                <w:sz w:val="21"/>
                <w:szCs w:val="22"/>
                <w:lang w:val="en-US" w:eastAsia="zh-CN"/>
              </w:rPr>
              <w:t>0</w:t>
            </w:r>
          </w:p>
        </w:tc>
      </w:tr>
    </w:tbl>
    <w:p>
      <w:pPr>
        <w:pStyle w:val="16"/>
        <w:rPr>
          <w:rFonts w:hint="eastAsia"/>
          <w:lang w:val="en-US" w:eastAsia="zh-CN"/>
        </w:rPr>
      </w:pPr>
      <w:r>
        <w:rPr>
          <w:rFonts w:ascii="黑体" w:hAnsi="宋体" w:eastAsia="黑体" w:cs="黑体"/>
          <w:i w:val="0"/>
          <w:iCs w:val="0"/>
          <w:caps w:val="0"/>
          <w:color w:val="000000"/>
          <w:spacing w:val="0"/>
          <w:sz w:val="32"/>
          <w:szCs w:val="32"/>
          <w:shd w:val="clear" w:fill="FFFFFF"/>
        </w:rPr>
        <w:t>五、存在的主要问题及改进情况</w:t>
      </w:r>
    </w:p>
    <w:p>
      <w:pPr>
        <w:pStyle w:val="16"/>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一是在信息公开发布形式、发布时效有待优化提升。</w:t>
      </w:r>
    </w:p>
    <w:p>
      <w:pPr>
        <w:pStyle w:val="16"/>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二是政府信息公开是政务公开工作的一部分内容，城市管理执法工作繁琐、涉及面广，信息公开难度较大，信息公开的内容有待进一步完善。</w:t>
      </w:r>
    </w:p>
    <w:p>
      <w:pPr>
        <w:pStyle w:val="16"/>
        <w:rPr>
          <w:rFonts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lang w:val="en-US" w:eastAsia="zh-CN"/>
        </w:rPr>
        <w:t>下步，我局将依据《中华人民共和国政府信息公开条例》，细化工作分工，及时发布信息，利用丰富多样的形式加强政策解读等内容发布，提升信息公开工作水平。同时，</w:t>
      </w:r>
      <w:r>
        <w:rPr>
          <w:rFonts w:ascii="仿宋_GB2312" w:hAnsi="宋体" w:eastAsia="仿宋_GB2312" w:cs="仿宋_GB2312"/>
          <w:i w:val="0"/>
          <w:iCs w:val="0"/>
          <w:caps w:val="0"/>
          <w:color w:val="000000"/>
          <w:spacing w:val="0"/>
          <w:sz w:val="32"/>
          <w:szCs w:val="32"/>
          <w:shd w:val="clear" w:fill="FFFFFF"/>
        </w:rPr>
        <w:t>进一步梳理我局政务公开信息，</w:t>
      </w:r>
      <w:r>
        <w:rPr>
          <w:rFonts w:hint="eastAsia" w:ascii="仿宋_GB2312" w:hAnsi="宋体" w:eastAsia="仿宋_GB2312" w:cs="仿宋_GB2312"/>
          <w:i w:val="0"/>
          <w:iCs w:val="0"/>
          <w:caps w:val="0"/>
          <w:color w:val="000000"/>
          <w:spacing w:val="0"/>
          <w:sz w:val="32"/>
          <w:szCs w:val="32"/>
          <w:shd w:val="clear" w:fill="FFFFFF"/>
          <w:lang w:val="en-US" w:eastAsia="zh-CN"/>
        </w:rPr>
        <w:t>加强对公开信息的审查，力争扩大信息公开量和公开面</w:t>
      </w:r>
      <w:r>
        <w:rPr>
          <w:rFonts w:ascii="仿宋_GB2312" w:hAnsi="宋体" w:eastAsia="仿宋_GB2312" w:cs="仿宋_GB2312"/>
          <w:i w:val="0"/>
          <w:iCs w:val="0"/>
          <w:caps w:val="0"/>
          <w:color w:val="000000"/>
          <w:spacing w:val="0"/>
          <w:sz w:val="32"/>
          <w:szCs w:val="32"/>
          <w:shd w:val="clear" w:fill="FFFFFF"/>
        </w:rPr>
        <w:t>。</w:t>
      </w:r>
    </w:p>
    <w:p>
      <w:pPr>
        <w:pStyle w:val="16"/>
        <w:numPr>
          <w:ilvl w:val="0"/>
          <w:numId w:val="3"/>
        </w:numPr>
        <w:rPr>
          <w:rFonts w:ascii="黑体" w:hAnsi="宋体" w:eastAsia="黑体" w:cs="黑体"/>
          <w:i w:val="0"/>
          <w:iCs w:val="0"/>
          <w:caps w:val="0"/>
          <w:color w:val="000000"/>
          <w:spacing w:val="0"/>
          <w:sz w:val="32"/>
          <w:szCs w:val="32"/>
          <w:shd w:val="clear" w:fill="FFFFFF"/>
        </w:rPr>
      </w:pPr>
      <w:r>
        <w:rPr>
          <w:rFonts w:ascii="黑体" w:hAnsi="宋体" w:eastAsia="黑体" w:cs="黑体"/>
          <w:i w:val="0"/>
          <w:iCs w:val="0"/>
          <w:caps w:val="0"/>
          <w:color w:val="000000"/>
          <w:spacing w:val="0"/>
          <w:sz w:val="32"/>
          <w:szCs w:val="32"/>
          <w:shd w:val="clear" w:fill="FFFFFF"/>
        </w:rPr>
        <w:t>其他需要报告的事项</w:t>
      </w:r>
    </w:p>
    <w:p>
      <w:pPr>
        <w:pStyle w:val="16"/>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1.收取信息处理费情况。本年度政府信息公开申请未达到《政府信息公开信息处理费管理办法》（国办函〔2020〕109号）所规定的信息处理费收费标准，故未收取信息处理费。</w:t>
      </w:r>
    </w:p>
    <w:p>
      <w:pPr>
        <w:pStyle w:val="16"/>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2.落实上级年度政务公开工作要点情况。2022年为确保机关各项政务公开工作落到实处，薛城区综合行政执法局成立了政务公开工作领导小组，设立专门办公室，由局长任组长，分管副局长任副组长，确定政务公开的具体经办人员，配齐工作力量，进一步压实部门主体责任，确保政务公开各项工作的有序推进、高效完成。</w:t>
      </w:r>
    </w:p>
    <w:p>
      <w:pPr>
        <w:pStyle w:val="16"/>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3.人大代表建议和政协提案办理情况。2022年薛城区综合行政执法局共承办区人大代表建议20件，其中主办6件、协办14件。共承办区政协委员提案28件，其中主办16件（含1件重点提案）、协办12件。内容涉及市容秩序整治，交通拥堵治理、道路施工管理、公园广场设施提升、垃圾分类等城市管理的方方面面。截至2022年底所有建议、提案均已全部办理、答复完毕。</w:t>
      </w:r>
    </w:p>
    <w:p>
      <w:pPr>
        <w:pStyle w:val="16"/>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4.开展政务公开创新方面。优化政策解读方式，在“多元化”上下功夫。通过文字解读、图片、简明问答等方式，进行全方位、立体化解读，便于群众获取有效信息，切实提高公开信息的质量和水平。</w:t>
      </w:r>
    </w:p>
    <w:p>
      <w:pPr>
        <w:pStyle w:val="16"/>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5.本单位政府信息公开工作年度报告数据统计需要说明的事项：无</w:t>
      </w:r>
    </w:p>
    <w:p>
      <w:pPr>
        <w:pStyle w:val="16"/>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6.其他有关文件专门要求通过政府信息公开工作年度报告予以报告的事项：无</w:t>
      </w:r>
    </w:p>
    <w:p>
      <w:pPr>
        <w:pStyle w:val="16"/>
        <w:rPr>
          <w:rFonts w:hint="eastAsia" w:ascii="仿宋_GB2312" w:hAnsi="仿宋_GB2312" w:eastAsia="仿宋_GB2312" w:cs="仿宋_GB2312"/>
          <w:i w:val="0"/>
          <w:iCs w:val="0"/>
          <w:caps w:val="0"/>
          <w:color w:val="0000FF"/>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7.本年度报告的电子版可以在“薛城区政府门户网站”（http://xxgk.xuecheng.gov.cn/xxgknb/)下载。如对本报告有疑问，可与薛城区综合行政执法局联系(地址:枣庄市薛城区富贵路21号，邮编：277000 ，电话：0632—4496600，电子邮箱：xczfjdys@zz.shandong.cn)。</w:t>
      </w:r>
    </w:p>
    <w:p>
      <w:pPr>
        <w:pStyle w:val="16"/>
        <w:keepNext w:val="0"/>
        <w:keepLines w:val="0"/>
        <w:pageBreakBefore w:val="0"/>
        <w:widowControl w:val="0"/>
        <w:numPr>
          <w:ilvl w:val="0"/>
          <w:numId w:val="0"/>
        </w:numPr>
        <w:kinsoku/>
        <w:wordWrap/>
        <w:overflowPunct/>
        <w:topLinePunct w:val="0"/>
        <w:autoSpaceDE/>
        <w:autoSpaceDN/>
        <w:bidi w:val="0"/>
        <w:adjustRightInd/>
        <w:snapToGrid w:val="0"/>
        <w:ind w:firstLine="632"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16"/>
        <w:numPr>
          <w:ilvl w:val="0"/>
          <w:numId w:val="0"/>
        </w:numPr>
        <w:rPr>
          <w:rFonts w:hint="eastAsia" w:ascii="黑体" w:hAnsi="宋体" w:eastAsia="黑体" w:cs="黑体"/>
          <w:i w:val="0"/>
          <w:iCs w:val="0"/>
          <w:caps w:val="0"/>
          <w:color w:val="000000"/>
          <w:spacing w:val="0"/>
          <w:sz w:val="32"/>
          <w:szCs w:val="32"/>
          <w:shd w:val="clear" w:fill="FFFFFF"/>
          <w:lang w:val="en-US" w:eastAsia="zh-CN"/>
        </w:rPr>
      </w:pPr>
    </w:p>
    <w:p>
      <w:pPr>
        <w:pStyle w:val="16"/>
        <w:wordWrap w:val="0"/>
        <w:jc w:val="right"/>
        <w:rPr>
          <w:rFonts w:hint="default"/>
          <w:lang w:val="en-US" w:eastAsia="zh-CN"/>
        </w:rPr>
      </w:pPr>
      <w:r>
        <w:rPr>
          <w:rFonts w:hint="eastAsia"/>
          <w:lang w:val="en-US" w:eastAsia="zh-CN"/>
        </w:rPr>
        <w:t xml:space="preserve">枣庄市薛城区综合行政执法局   </w:t>
      </w:r>
    </w:p>
    <w:p>
      <w:pPr>
        <w:pStyle w:val="26"/>
        <w:rPr>
          <w:rFonts w:hint="eastAsia"/>
          <w:lang w:val="en-US" w:eastAsia="zh-CN"/>
        </w:rPr>
      </w:pPr>
      <w:r>
        <w:rPr>
          <w:rFonts w:hint="eastAsia"/>
          <w:lang w:val="en-US" w:eastAsia="zh-CN"/>
        </w:rPr>
        <w:t>2023年1月16日</w:t>
      </w: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sectPr>
      <w:footerReference r:id="rId3" w:type="default"/>
      <w:footerReference r:id="rId4" w:type="even"/>
      <w:pgSz w:w="11906" w:h="16838"/>
      <w:pgMar w:top="2098" w:right="1474" w:bottom="1984" w:left="1587" w:header="0"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- 1 -</w:t>
                          </w: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- 1 -</w:t>
                    </w: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27"/>
      </w:tabs>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w:t>
                          </w: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w:t>
                    </w: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C6977"/>
    <w:multiLevelType w:val="singleLevel"/>
    <w:tmpl w:val="EC3C6977"/>
    <w:lvl w:ilvl="0" w:tentative="0">
      <w:start w:val="6"/>
      <w:numFmt w:val="chineseCounting"/>
      <w:suff w:val="nothing"/>
      <w:lvlText w:val="%1、"/>
      <w:lvlJc w:val="left"/>
      <w:rPr>
        <w:rFonts w:hint="eastAsia"/>
      </w:rPr>
    </w:lvl>
  </w:abstractNum>
  <w:abstractNum w:abstractNumId="1">
    <w:nsid w:val="53B3E0C7"/>
    <w:multiLevelType w:val="multilevel"/>
    <w:tmpl w:val="53B3E0C7"/>
    <w:lvl w:ilvl="0" w:tentative="0">
      <w:start w:val="1"/>
      <w:numFmt w:val="chineseCounting"/>
      <w:suff w:val="nothing"/>
      <w:lvlText w:val="%1、"/>
      <w:lvlJc w:val="left"/>
      <w:pPr>
        <w:tabs>
          <w:tab w:val="left" w:pos="0"/>
        </w:tabs>
        <w:ind w:left="0" w:firstLine="0"/>
      </w:pPr>
      <w:rPr>
        <w:rFonts w:hint="eastAsia" w:ascii="宋体" w:hAnsi="宋体" w:eastAsia="宋体" w:cs="宋体"/>
        <w:sz w:val="32"/>
        <w:szCs w:val="32"/>
      </w:rPr>
    </w:lvl>
    <w:lvl w:ilvl="1" w:tentative="0">
      <w:start w:val="1"/>
      <w:numFmt w:val="chineseCounting"/>
      <w:pStyle w:val="2"/>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53B3E672"/>
    <w:multiLevelType w:val="multilevel"/>
    <w:tmpl w:val="53B3E672"/>
    <w:lvl w:ilvl="0" w:tentative="0">
      <w:start w:val="1"/>
      <w:numFmt w:val="chineseCounting"/>
      <w:suff w:val="nothing"/>
      <w:lvlText w:val="%1、"/>
      <w:lvlJc w:val="left"/>
      <w:pPr>
        <w:tabs>
          <w:tab w:val="left" w:pos="0"/>
        </w:tabs>
        <w:ind w:left="0" w:firstLine="0"/>
      </w:pPr>
      <w:rPr>
        <w:rFonts w:hint="eastAsia" w:ascii="宋体" w:hAnsi="宋体" w:eastAsia="宋体" w:cs="黑体"/>
        <w:sz w:val="32"/>
        <w:szCs w:val="32"/>
      </w:rPr>
    </w:lvl>
    <w:lvl w:ilvl="1" w:tentative="0">
      <w:start w:val="1"/>
      <w:numFmt w:val="chineseCounting"/>
      <w:suff w:val="nothing"/>
      <w:lvlText w:val="（%2）"/>
      <w:lvlJc w:val="left"/>
      <w:pPr>
        <w:ind w:left="0" w:firstLine="0"/>
      </w:pPr>
      <w:rPr>
        <w:rFonts w:hint="eastAsia" w:ascii="宋体" w:hAnsi="宋体" w:eastAsia="宋体" w:cs="宋体"/>
        <w:sz w:val="32"/>
        <w:szCs w:val="32"/>
      </w:rPr>
    </w:lvl>
    <w:lvl w:ilvl="2" w:tentative="0">
      <w:start w:val="1"/>
      <w:numFmt w:val="decimal"/>
      <w:pStyle w:val="3"/>
      <w:suff w:val="nothing"/>
      <w:lvlText w:val="%3、"/>
      <w:lvlJc w:val="left"/>
      <w:pPr>
        <w:ind w:left="0" w:firstLine="400"/>
      </w:pPr>
      <w:rPr>
        <w:rFonts w:hint="eastAsia" w:ascii="宋体" w:hAnsi="宋体" w:eastAsia="宋体" w:cs="宋体"/>
        <w:sz w:val="32"/>
      </w:rPr>
    </w:lvl>
    <w:lvl w:ilvl="3" w:tentative="0">
      <w:start w:val="1"/>
      <w:numFmt w:val="decimal"/>
      <w:pStyle w:val="4"/>
      <w:suff w:val="nothing"/>
      <w:lvlText w:val="（%4）"/>
      <w:lvlJc w:val="left"/>
      <w:pPr>
        <w:ind w:left="0" w:firstLine="402"/>
      </w:pPr>
      <w:rPr>
        <w:rFonts w:hint="eastAsia"/>
      </w:rPr>
    </w:lvl>
    <w:lvl w:ilvl="4" w:tentative="0">
      <w:start w:val="1"/>
      <w:numFmt w:val="decimalEnclosedCircleChinese"/>
      <w:pStyle w:val="5"/>
      <w:suff w:val="nothing"/>
      <w:lvlText w:val="%5"/>
      <w:lvlJc w:val="left"/>
      <w:pPr>
        <w:ind w:left="0" w:firstLine="402"/>
      </w:pPr>
      <w:rPr>
        <w:rFonts w:hint="eastAsia"/>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MGJkMzc4Y2FkNjhjYTQ4NTY1MDBmNDIyYzJmMmYifQ=="/>
  </w:docVars>
  <w:rsids>
    <w:rsidRoot w:val="243C745C"/>
    <w:rsid w:val="00142C0B"/>
    <w:rsid w:val="0016698B"/>
    <w:rsid w:val="00217296"/>
    <w:rsid w:val="00286910"/>
    <w:rsid w:val="002F28DD"/>
    <w:rsid w:val="005A0519"/>
    <w:rsid w:val="008E7380"/>
    <w:rsid w:val="008F2440"/>
    <w:rsid w:val="009E6F72"/>
    <w:rsid w:val="00B46ABE"/>
    <w:rsid w:val="00E86917"/>
    <w:rsid w:val="011E6027"/>
    <w:rsid w:val="012A64F7"/>
    <w:rsid w:val="016B78B3"/>
    <w:rsid w:val="01D57017"/>
    <w:rsid w:val="026F51C1"/>
    <w:rsid w:val="02A53A90"/>
    <w:rsid w:val="0371236B"/>
    <w:rsid w:val="039341B3"/>
    <w:rsid w:val="03A05DEE"/>
    <w:rsid w:val="04415396"/>
    <w:rsid w:val="044B06C0"/>
    <w:rsid w:val="045B2894"/>
    <w:rsid w:val="046162D3"/>
    <w:rsid w:val="053E5C19"/>
    <w:rsid w:val="057E10F2"/>
    <w:rsid w:val="058857E0"/>
    <w:rsid w:val="058B4F40"/>
    <w:rsid w:val="05C27CBF"/>
    <w:rsid w:val="060468C5"/>
    <w:rsid w:val="06194662"/>
    <w:rsid w:val="075D21DF"/>
    <w:rsid w:val="077906DD"/>
    <w:rsid w:val="07DA4761"/>
    <w:rsid w:val="07DB2AC8"/>
    <w:rsid w:val="080579D1"/>
    <w:rsid w:val="08076E39"/>
    <w:rsid w:val="083603A4"/>
    <w:rsid w:val="0966712B"/>
    <w:rsid w:val="09D60FF1"/>
    <w:rsid w:val="0AFD7DEF"/>
    <w:rsid w:val="0B0E0F6A"/>
    <w:rsid w:val="0B6F4F44"/>
    <w:rsid w:val="0BF51D66"/>
    <w:rsid w:val="0C8F3CCD"/>
    <w:rsid w:val="0CAB6DFC"/>
    <w:rsid w:val="0D8C25FD"/>
    <w:rsid w:val="0DC60580"/>
    <w:rsid w:val="0DC85EF0"/>
    <w:rsid w:val="0DFF1A88"/>
    <w:rsid w:val="0E867099"/>
    <w:rsid w:val="0EBC4206"/>
    <w:rsid w:val="0F91303A"/>
    <w:rsid w:val="0FB5236F"/>
    <w:rsid w:val="0FDE2738"/>
    <w:rsid w:val="10731892"/>
    <w:rsid w:val="10E9449B"/>
    <w:rsid w:val="11231440"/>
    <w:rsid w:val="124752E1"/>
    <w:rsid w:val="127119C5"/>
    <w:rsid w:val="12D47602"/>
    <w:rsid w:val="12DB5F87"/>
    <w:rsid w:val="136721FC"/>
    <w:rsid w:val="139A3F61"/>
    <w:rsid w:val="141C79E0"/>
    <w:rsid w:val="15AF1A03"/>
    <w:rsid w:val="15E5223A"/>
    <w:rsid w:val="160062EA"/>
    <w:rsid w:val="162664BA"/>
    <w:rsid w:val="17055C49"/>
    <w:rsid w:val="17723E22"/>
    <w:rsid w:val="177A1CCA"/>
    <w:rsid w:val="17847B05"/>
    <w:rsid w:val="17BC3B81"/>
    <w:rsid w:val="18203573"/>
    <w:rsid w:val="18D73DED"/>
    <w:rsid w:val="18DD687F"/>
    <w:rsid w:val="195F5D16"/>
    <w:rsid w:val="19C04D57"/>
    <w:rsid w:val="1A405E34"/>
    <w:rsid w:val="1B8D1D85"/>
    <w:rsid w:val="1B925D92"/>
    <w:rsid w:val="1C113315"/>
    <w:rsid w:val="1C7B39D1"/>
    <w:rsid w:val="1D1839FE"/>
    <w:rsid w:val="1D257C97"/>
    <w:rsid w:val="1D591A62"/>
    <w:rsid w:val="1D792C50"/>
    <w:rsid w:val="1ECC57AC"/>
    <w:rsid w:val="1F4A40C3"/>
    <w:rsid w:val="1FBA3C23"/>
    <w:rsid w:val="20025A46"/>
    <w:rsid w:val="200C3D51"/>
    <w:rsid w:val="205B22D4"/>
    <w:rsid w:val="207B31FC"/>
    <w:rsid w:val="2086166A"/>
    <w:rsid w:val="21393C89"/>
    <w:rsid w:val="21E429C9"/>
    <w:rsid w:val="22695E1D"/>
    <w:rsid w:val="229323DA"/>
    <w:rsid w:val="2435770D"/>
    <w:rsid w:val="243C745C"/>
    <w:rsid w:val="24C0588F"/>
    <w:rsid w:val="2506666C"/>
    <w:rsid w:val="256B5956"/>
    <w:rsid w:val="25F65005"/>
    <w:rsid w:val="2641303A"/>
    <w:rsid w:val="268F1D74"/>
    <w:rsid w:val="271E5F0C"/>
    <w:rsid w:val="27B12732"/>
    <w:rsid w:val="27B508CF"/>
    <w:rsid w:val="281F6F3C"/>
    <w:rsid w:val="28CD6A3D"/>
    <w:rsid w:val="28F02473"/>
    <w:rsid w:val="29653787"/>
    <w:rsid w:val="2A247B8D"/>
    <w:rsid w:val="2AB110AC"/>
    <w:rsid w:val="2B4C3031"/>
    <w:rsid w:val="2BFB018D"/>
    <w:rsid w:val="2C310899"/>
    <w:rsid w:val="2E087C19"/>
    <w:rsid w:val="2E0922CF"/>
    <w:rsid w:val="2EEA65E2"/>
    <w:rsid w:val="2F8B31DD"/>
    <w:rsid w:val="304D4909"/>
    <w:rsid w:val="30987CB5"/>
    <w:rsid w:val="30B31E99"/>
    <w:rsid w:val="311662C4"/>
    <w:rsid w:val="313C4720"/>
    <w:rsid w:val="318C6C77"/>
    <w:rsid w:val="319E19C3"/>
    <w:rsid w:val="3299518D"/>
    <w:rsid w:val="33E21BE5"/>
    <w:rsid w:val="340A5F53"/>
    <w:rsid w:val="358418C7"/>
    <w:rsid w:val="359508B5"/>
    <w:rsid w:val="36676519"/>
    <w:rsid w:val="366F6924"/>
    <w:rsid w:val="377A4FCE"/>
    <w:rsid w:val="37BA1F08"/>
    <w:rsid w:val="381C4123"/>
    <w:rsid w:val="38DE7679"/>
    <w:rsid w:val="38F42225"/>
    <w:rsid w:val="399B21AE"/>
    <w:rsid w:val="39C57900"/>
    <w:rsid w:val="3A0B019C"/>
    <w:rsid w:val="3A942C12"/>
    <w:rsid w:val="3B2F5BC6"/>
    <w:rsid w:val="3B314A24"/>
    <w:rsid w:val="3B9D0074"/>
    <w:rsid w:val="3C302040"/>
    <w:rsid w:val="3C3A4A60"/>
    <w:rsid w:val="3C8737FA"/>
    <w:rsid w:val="3CE01DE0"/>
    <w:rsid w:val="3D0A1093"/>
    <w:rsid w:val="3D7206EE"/>
    <w:rsid w:val="3DAC1935"/>
    <w:rsid w:val="3DEA2487"/>
    <w:rsid w:val="3E184676"/>
    <w:rsid w:val="3E385B33"/>
    <w:rsid w:val="3E933E4E"/>
    <w:rsid w:val="3EE269A0"/>
    <w:rsid w:val="3EFA7108"/>
    <w:rsid w:val="3FF51F30"/>
    <w:rsid w:val="415530F3"/>
    <w:rsid w:val="415F205C"/>
    <w:rsid w:val="41EE4E37"/>
    <w:rsid w:val="42B43914"/>
    <w:rsid w:val="42DA027C"/>
    <w:rsid w:val="42F2429C"/>
    <w:rsid w:val="433920ED"/>
    <w:rsid w:val="433C5D1E"/>
    <w:rsid w:val="445C0D9A"/>
    <w:rsid w:val="45E52D56"/>
    <w:rsid w:val="472D422D"/>
    <w:rsid w:val="47D03D83"/>
    <w:rsid w:val="47D54884"/>
    <w:rsid w:val="480D4EDB"/>
    <w:rsid w:val="48586C74"/>
    <w:rsid w:val="48AA59B2"/>
    <w:rsid w:val="48B82E98"/>
    <w:rsid w:val="48C937F0"/>
    <w:rsid w:val="49753D38"/>
    <w:rsid w:val="4A0646D9"/>
    <w:rsid w:val="4A576D6D"/>
    <w:rsid w:val="4A5A5FD9"/>
    <w:rsid w:val="4A6B5B79"/>
    <w:rsid w:val="4A720F58"/>
    <w:rsid w:val="4A8A676C"/>
    <w:rsid w:val="4BD74D63"/>
    <w:rsid w:val="4C150006"/>
    <w:rsid w:val="4C7538FC"/>
    <w:rsid w:val="4CE40C6A"/>
    <w:rsid w:val="4E145CC5"/>
    <w:rsid w:val="4F0A4F22"/>
    <w:rsid w:val="50B80AB1"/>
    <w:rsid w:val="513D049F"/>
    <w:rsid w:val="51A61DBC"/>
    <w:rsid w:val="51E94DFA"/>
    <w:rsid w:val="521E36D5"/>
    <w:rsid w:val="52770B21"/>
    <w:rsid w:val="52A40978"/>
    <w:rsid w:val="52ED3A18"/>
    <w:rsid w:val="52FB5AF4"/>
    <w:rsid w:val="52FC639C"/>
    <w:rsid w:val="53647C25"/>
    <w:rsid w:val="553F51F1"/>
    <w:rsid w:val="56ED6315"/>
    <w:rsid w:val="5707339B"/>
    <w:rsid w:val="574917BA"/>
    <w:rsid w:val="579B2BBB"/>
    <w:rsid w:val="58264464"/>
    <w:rsid w:val="583D336C"/>
    <w:rsid w:val="58FE4D97"/>
    <w:rsid w:val="5902277B"/>
    <w:rsid w:val="59B6411E"/>
    <w:rsid w:val="5A1F5D86"/>
    <w:rsid w:val="5BC07ABA"/>
    <w:rsid w:val="5BCC5721"/>
    <w:rsid w:val="5D025F14"/>
    <w:rsid w:val="5D473AC2"/>
    <w:rsid w:val="5DA61635"/>
    <w:rsid w:val="5ED344A3"/>
    <w:rsid w:val="5F493FF1"/>
    <w:rsid w:val="5F5E1191"/>
    <w:rsid w:val="5FF21CBD"/>
    <w:rsid w:val="60376ECA"/>
    <w:rsid w:val="6091486E"/>
    <w:rsid w:val="60AE74CB"/>
    <w:rsid w:val="611B5238"/>
    <w:rsid w:val="61EE0AB5"/>
    <w:rsid w:val="61FD19CE"/>
    <w:rsid w:val="62355F05"/>
    <w:rsid w:val="62414478"/>
    <w:rsid w:val="628177D5"/>
    <w:rsid w:val="62EB2877"/>
    <w:rsid w:val="63184E68"/>
    <w:rsid w:val="638D3AA5"/>
    <w:rsid w:val="639D7E4A"/>
    <w:rsid w:val="640B451E"/>
    <w:rsid w:val="641D52F0"/>
    <w:rsid w:val="64D15E8C"/>
    <w:rsid w:val="65090691"/>
    <w:rsid w:val="653B2A38"/>
    <w:rsid w:val="65606F48"/>
    <w:rsid w:val="65824021"/>
    <w:rsid w:val="66290439"/>
    <w:rsid w:val="66423C0D"/>
    <w:rsid w:val="669C2982"/>
    <w:rsid w:val="66AF7503"/>
    <w:rsid w:val="67042506"/>
    <w:rsid w:val="670A7F0C"/>
    <w:rsid w:val="68241DF6"/>
    <w:rsid w:val="68DD6F82"/>
    <w:rsid w:val="6A0A7671"/>
    <w:rsid w:val="6A2225EF"/>
    <w:rsid w:val="6B4339BC"/>
    <w:rsid w:val="6B601CFA"/>
    <w:rsid w:val="6C3C6740"/>
    <w:rsid w:val="6C9D2ED2"/>
    <w:rsid w:val="6CB51839"/>
    <w:rsid w:val="6CE00989"/>
    <w:rsid w:val="6D1C4347"/>
    <w:rsid w:val="6D85751C"/>
    <w:rsid w:val="6DE720A7"/>
    <w:rsid w:val="6DF30AEB"/>
    <w:rsid w:val="6E042066"/>
    <w:rsid w:val="6E744810"/>
    <w:rsid w:val="70026563"/>
    <w:rsid w:val="70C47EFE"/>
    <w:rsid w:val="70D05909"/>
    <w:rsid w:val="7108214C"/>
    <w:rsid w:val="711C47FF"/>
    <w:rsid w:val="716716FD"/>
    <w:rsid w:val="724E3908"/>
    <w:rsid w:val="7251731D"/>
    <w:rsid w:val="734B38D4"/>
    <w:rsid w:val="7502223B"/>
    <w:rsid w:val="754777D8"/>
    <w:rsid w:val="759157C7"/>
    <w:rsid w:val="75D02524"/>
    <w:rsid w:val="764F2785"/>
    <w:rsid w:val="76592248"/>
    <w:rsid w:val="76D95FAB"/>
    <w:rsid w:val="76F04DAB"/>
    <w:rsid w:val="770214F1"/>
    <w:rsid w:val="77397E8B"/>
    <w:rsid w:val="7799050D"/>
    <w:rsid w:val="77D54447"/>
    <w:rsid w:val="7819736A"/>
    <w:rsid w:val="78D7384E"/>
    <w:rsid w:val="79712653"/>
    <w:rsid w:val="797D03D1"/>
    <w:rsid w:val="7ACE5809"/>
    <w:rsid w:val="7BBD6E96"/>
    <w:rsid w:val="7BE340EC"/>
    <w:rsid w:val="7BFB7C0E"/>
    <w:rsid w:val="7CAC356D"/>
    <w:rsid w:val="7CC534AE"/>
    <w:rsid w:val="7CCA660B"/>
    <w:rsid w:val="7D0A7706"/>
    <w:rsid w:val="7D9B1AE3"/>
    <w:rsid w:val="7DCA10AE"/>
    <w:rsid w:val="7DF91D15"/>
    <w:rsid w:val="7E2C5BBB"/>
    <w:rsid w:val="7E53334D"/>
    <w:rsid w:val="7E855D64"/>
    <w:rsid w:val="7F534A41"/>
    <w:rsid w:val="7FA21B92"/>
    <w:rsid w:val="7FDC75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uiPriority w:val="9"/>
    <w:pPr>
      <w:keepNext/>
      <w:keepLines/>
      <w:numPr>
        <w:ilvl w:val="1"/>
        <w:numId w:val="1"/>
      </w:numPr>
      <w:spacing w:line="413" w:lineRule="auto"/>
      <w:outlineLvl w:val="1"/>
    </w:pPr>
    <w:rPr>
      <w:rFonts w:ascii="Arial" w:hAnsi="Arial" w:eastAsia="黑体"/>
      <w:b/>
      <w:sz w:val="32"/>
    </w:rPr>
  </w:style>
  <w:style w:type="paragraph" w:styleId="3">
    <w:name w:val="heading 3"/>
    <w:basedOn w:val="1"/>
    <w:next w:val="1"/>
    <w:qFormat/>
    <w:uiPriority w:val="9"/>
    <w:pPr>
      <w:keepNext/>
      <w:keepLines/>
      <w:numPr>
        <w:ilvl w:val="2"/>
        <w:numId w:val="2"/>
      </w:numPr>
      <w:spacing w:line="413" w:lineRule="auto"/>
      <w:outlineLvl w:val="2"/>
    </w:pPr>
    <w:rPr>
      <w:b/>
      <w:sz w:val="32"/>
    </w:rPr>
  </w:style>
  <w:style w:type="paragraph" w:styleId="4">
    <w:name w:val="heading 4"/>
    <w:basedOn w:val="1"/>
    <w:next w:val="1"/>
    <w:qFormat/>
    <w:uiPriority w:val="9"/>
    <w:pPr>
      <w:keepNext/>
      <w:keepLines/>
      <w:numPr>
        <w:ilvl w:val="3"/>
        <w:numId w:val="2"/>
      </w:numPr>
      <w:spacing w:line="372" w:lineRule="auto"/>
      <w:outlineLvl w:val="3"/>
    </w:pPr>
    <w:rPr>
      <w:rFonts w:ascii="Arial" w:hAnsi="Arial" w:eastAsia="黑体"/>
      <w:b/>
      <w:sz w:val="28"/>
    </w:rPr>
  </w:style>
  <w:style w:type="paragraph" w:styleId="5">
    <w:name w:val="heading 5"/>
    <w:basedOn w:val="1"/>
    <w:next w:val="1"/>
    <w:qFormat/>
    <w:uiPriority w:val="9"/>
    <w:pPr>
      <w:keepNext/>
      <w:keepLines/>
      <w:numPr>
        <w:ilvl w:val="4"/>
        <w:numId w:val="2"/>
      </w:numPr>
      <w:spacing w:line="372" w:lineRule="auto"/>
      <w:outlineLvl w:val="4"/>
    </w:pPr>
    <w:rPr>
      <w:b/>
      <w:sz w:val="28"/>
    </w:rPr>
  </w:style>
  <w:style w:type="paragraph" w:styleId="6">
    <w:name w:val="heading 6"/>
    <w:basedOn w:val="1"/>
    <w:next w:val="1"/>
    <w:qFormat/>
    <w:uiPriority w:val="9"/>
    <w:pPr>
      <w:keepNext/>
      <w:keepLines/>
      <w:numPr>
        <w:ilvl w:val="5"/>
        <w:numId w:val="2"/>
      </w:numPr>
      <w:spacing w:line="317" w:lineRule="auto"/>
      <w:outlineLvl w:val="5"/>
    </w:pPr>
    <w:rPr>
      <w:rFonts w:ascii="Arial" w:hAnsi="Arial" w:eastAsia="黑体"/>
      <w:b/>
      <w:sz w:val="24"/>
    </w:rPr>
  </w:style>
  <w:style w:type="paragraph" w:styleId="7">
    <w:name w:val="heading 7"/>
    <w:basedOn w:val="1"/>
    <w:next w:val="1"/>
    <w:qFormat/>
    <w:uiPriority w:val="9"/>
    <w:pPr>
      <w:keepNext/>
      <w:keepLines/>
      <w:numPr>
        <w:ilvl w:val="6"/>
        <w:numId w:val="2"/>
      </w:numPr>
      <w:spacing w:line="317" w:lineRule="auto"/>
      <w:outlineLvl w:val="6"/>
    </w:pPr>
    <w:rPr>
      <w:b/>
      <w:sz w:val="24"/>
    </w:rPr>
  </w:style>
  <w:style w:type="paragraph" w:styleId="8">
    <w:name w:val="heading 8"/>
    <w:basedOn w:val="1"/>
    <w:next w:val="1"/>
    <w:qFormat/>
    <w:uiPriority w:val="9"/>
    <w:pPr>
      <w:keepNext/>
      <w:keepLines/>
      <w:numPr>
        <w:ilvl w:val="7"/>
        <w:numId w:val="2"/>
      </w:numPr>
      <w:spacing w:line="317" w:lineRule="auto"/>
      <w:outlineLvl w:val="7"/>
    </w:pPr>
    <w:rPr>
      <w:rFonts w:ascii="Arial" w:hAnsi="Arial" w:eastAsia="黑体"/>
      <w:sz w:val="24"/>
    </w:rPr>
  </w:style>
  <w:style w:type="paragraph" w:styleId="9">
    <w:name w:val="heading 9"/>
    <w:basedOn w:val="1"/>
    <w:next w:val="1"/>
    <w:qFormat/>
    <w:uiPriority w:val="9"/>
    <w:pPr>
      <w:keepNext/>
      <w:keepLines/>
      <w:numPr>
        <w:ilvl w:val="8"/>
        <w:numId w:val="2"/>
      </w:numPr>
      <w:spacing w:line="317" w:lineRule="auto"/>
      <w:outlineLvl w:val="8"/>
    </w:pPr>
    <w:rPr>
      <w:rFonts w:ascii="Arial" w:hAnsi="Arial" w:eastAsia="黑体"/>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10">
    <w:name w:val="footer"/>
    <w:basedOn w:val="1"/>
    <w:unhideWhenUsed/>
    <w:qFormat/>
    <w:uiPriority w:val="0"/>
    <w:pPr>
      <w:tabs>
        <w:tab w:val="center" w:pos="4153"/>
        <w:tab w:val="right" w:pos="8306"/>
      </w:tabs>
      <w:snapToGrid w:val="0"/>
      <w:jc w:val="left"/>
    </w:pPr>
    <w:rPr>
      <w:rFonts w:eastAsia="宋体"/>
      <w:sz w:val="2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二级标题楷GB"/>
    <w:basedOn w:val="1"/>
    <w:next w:val="16"/>
    <w:qFormat/>
    <w:uiPriority w:val="0"/>
    <w:pPr>
      <w:snapToGrid w:val="0"/>
      <w:spacing w:line="580" w:lineRule="exact"/>
      <w:ind w:firstLine="880" w:firstLineChars="200"/>
      <w:outlineLvl w:val="2"/>
    </w:pPr>
    <w:rPr>
      <w:rFonts w:ascii="Times New Roman" w:hAnsi="Times New Roman" w:eastAsia="楷体_GB2312"/>
    </w:rPr>
  </w:style>
  <w:style w:type="paragraph" w:customStyle="1" w:styleId="16">
    <w:name w:val="正文仿宋GB3号"/>
    <w:basedOn w:val="1"/>
    <w:link w:val="22"/>
    <w:qFormat/>
    <w:uiPriority w:val="0"/>
    <w:pPr>
      <w:snapToGrid w:val="0"/>
      <w:spacing w:line="570" w:lineRule="exact"/>
      <w:ind w:firstLine="880" w:firstLineChars="200"/>
    </w:pPr>
    <w:rPr>
      <w:rFonts w:hint="eastAsia"/>
    </w:rPr>
  </w:style>
  <w:style w:type="paragraph" w:customStyle="1" w:styleId="17">
    <w:name w:val="三级标题仿宋GB"/>
    <w:basedOn w:val="15"/>
    <w:next w:val="16"/>
    <w:link w:val="24"/>
    <w:qFormat/>
    <w:uiPriority w:val="0"/>
    <w:pPr>
      <w:outlineLvl w:val="3"/>
    </w:pPr>
    <w:rPr>
      <w:rFonts w:eastAsia="仿宋_GB2312"/>
    </w:rPr>
  </w:style>
  <w:style w:type="paragraph" w:customStyle="1" w:styleId="18">
    <w:name w:val="一级标题黑"/>
    <w:basedOn w:val="1"/>
    <w:next w:val="16"/>
    <w:link w:val="25"/>
    <w:qFormat/>
    <w:uiPriority w:val="0"/>
    <w:pPr>
      <w:tabs>
        <w:tab w:val="left" w:pos="0"/>
      </w:tabs>
      <w:snapToGrid w:val="0"/>
      <w:spacing w:line="580" w:lineRule="exact"/>
      <w:ind w:firstLine="880" w:firstLineChars="200"/>
      <w:outlineLvl w:val="1"/>
    </w:pPr>
    <w:rPr>
      <w:rFonts w:hint="eastAsia" w:ascii="Times New Roman" w:hAnsi="Times New Roman" w:eastAsia="黑体"/>
    </w:rPr>
  </w:style>
  <w:style w:type="paragraph" w:customStyle="1" w:styleId="19">
    <w:name w:val="姓名楷GB3号"/>
    <w:basedOn w:val="1"/>
    <w:next w:val="16"/>
    <w:qFormat/>
    <w:uiPriority w:val="0"/>
    <w:pPr>
      <w:snapToGrid w:val="0"/>
      <w:spacing w:line="680" w:lineRule="exact"/>
      <w:jc w:val="center"/>
    </w:pPr>
    <w:rPr>
      <w:rFonts w:ascii="Times New Roman" w:hAnsi="Times New Roman" w:eastAsia="楷体_GB2312"/>
    </w:rPr>
  </w:style>
  <w:style w:type="paragraph" w:customStyle="1" w:styleId="20">
    <w:name w:val="主题华文2号"/>
    <w:basedOn w:val="1"/>
    <w:qFormat/>
    <w:uiPriority w:val="0"/>
    <w:pPr>
      <w:snapToGrid w:val="0"/>
      <w:spacing w:line="680" w:lineRule="exact"/>
      <w:jc w:val="center"/>
    </w:pPr>
    <w:rPr>
      <w:rFonts w:hint="eastAsia" w:ascii="Times New Roman" w:hAnsi="Times New Roman" w:eastAsia="华文中宋"/>
      <w:sz w:val="44"/>
      <w:szCs w:val="44"/>
    </w:rPr>
  </w:style>
  <w:style w:type="paragraph" w:customStyle="1" w:styleId="21">
    <w:name w:val="主题方正小标宋2号"/>
    <w:basedOn w:val="1"/>
    <w:next w:val="16"/>
    <w:qFormat/>
    <w:uiPriority w:val="0"/>
    <w:pPr>
      <w:snapToGrid w:val="0"/>
      <w:spacing w:line="680" w:lineRule="exact"/>
      <w:jc w:val="center"/>
    </w:pPr>
    <w:rPr>
      <w:rFonts w:ascii="Times New Roman" w:hAnsi="Times New Roman" w:eastAsia="方正小标宋简体"/>
      <w:sz w:val="44"/>
      <w:szCs w:val="44"/>
    </w:rPr>
  </w:style>
  <w:style w:type="character" w:customStyle="1" w:styleId="22">
    <w:name w:val="正文仿宋GB3号 Char"/>
    <w:link w:val="16"/>
    <w:qFormat/>
    <w:uiPriority w:val="0"/>
    <w:rPr>
      <w:rFonts w:hint="eastAsia" w:ascii="Times New Roman" w:hAnsi="Times New Roman" w:eastAsia="仿宋_GB2312"/>
      <w:sz w:val="32"/>
      <w:szCs w:val="32"/>
      <w:lang w:bidi="ar-SA"/>
    </w:rPr>
  </w:style>
  <w:style w:type="character" w:customStyle="1" w:styleId="23">
    <w:name w:val="楷体gb3号"/>
    <w:qFormat/>
    <w:uiPriority w:val="0"/>
    <w:rPr>
      <w:rFonts w:ascii="Times New Roman" w:hAnsi="Times New Roman" w:eastAsia="楷体_GB2312"/>
      <w:sz w:val="32"/>
      <w:szCs w:val="32"/>
    </w:rPr>
  </w:style>
  <w:style w:type="character" w:customStyle="1" w:styleId="24">
    <w:name w:val="三级标题楷GB Char"/>
    <w:link w:val="17"/>
    <w:qFormat/>
    <w:uiPriority w:val="0"/>
    <w:rPr>
      <w:rFonts w:ascii="Times New Roman" w:hAnsi="Times New Roman" w:eastAsia="仿宋_GB2312"/>
    </w:rPr>
  </w:style>
  <w:style w:type="character" w:customStyle="1" w:styleId="25">
    <w:name w:val="一级标题黑 Char"/>
    <w:link w:val="18"/>
    <w:qFormat/>
    <w:uiPriority w:val="0"/>
    <w:rPr>
      <w:rFonts w:ascii="Times New Roman" w:hAnsi="Times New Roman" w:eastAsia="黑体"/>
      <w:kern w:val="2"/>
      <w:sz w:val="32"/>
      <w:szCs w:val="32"/>
    </w:rPr>
  </w:style>
  <w:style w:type="paragraph" w:customStyle="1" w:styleId="26">
    <w:name w:val="时间落款"/>
    <w:basedOn w:val="16"/>
    <w:next w:val="16"/>
    <w:qFormat/>
    <w:uiPriority w:val="0"/>
    <w:pPr>
      <w:ind w:right="1264" w:rightChars="400" w:firstLine="0" w:firstLineChars="0"/>
      <w:jc w:val="right"/>
    </w:pPr>
    <w:rPr>
      <w:rFonts w:ascii="Times New Roman" w:hAnsi="Times New Roman"/>
    </w:rPr>
  </w:style>
  <w:style w:type="paragraph" w:customStyle="1" w:styleId="27">
    <w:name w:val="附件"/>
    <w:basedOn w:val="16"/>
    <w:next w:val="16"/>
    <w:qFormat/>
    <w:uiPriority w:val="0"/>
    <w:pPr>
      <w:ind w:firstLine="0" w:firstLineChars="0"/>
      <w:outlineLvl w:val="1"/>
    </w:pPr>
    <w:rPr>
      <w:rFonts w:ascii="Times New Roman" w:hAnsi="Times New Roman"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1150;&#2084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办公模板.dotx</Template>
  <Pages>8</Pages>
  <Words>3029</Words>
  <Characters>3267</Characters>
  <Lines>14</Lines>
  <Paragraphs>3</Paragraphs>
  <TotalTime>5</TotalTime>
  <ScaleCrop>false</ScaleCrop>
  <LinksUpToDate>false</LinksUpToDate>
  <CharactersWithSpaces>3271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2023-01-10T08:52:00Z</dcterms:created>
  <dc:creator>Administrator</dc:creator>
  <cp:lastModifiedBy>Administrator</cp:lastModifiedBy>
  <cp:lastPrinted>2023-02-02T08:59:14Z</cp:lastPrinted>
  <dcterms:modified xsi:type="dcterms:W3CDTF">2023-02-02T09:01:25Z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0F84548895F143F7ADB4B080A2136155</vt:lpwstr>
  </property>
</Properties>
</file>