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叶根友毛笔行书2.0版" w:hAnsi="叶根友毛笔行书2.0版" w:eastAsia="叶根友毛笔行书2.0版" w:cs="叶根友毛笔行书2.0版"/>
          <w:i w:val="0"/>
          <w:caps w:val="0"/>
          <w:color w:val="333333"/>
          <w:spacing w:val="0"/>
          <w:sz w:val="32"/>
          <w:szCs w:val="32"/>
          <w:lang w:val="en-US" w:eastAsia="zh-CN"/>
        </w:rPr>
      </w:pPr>
      <w:r>
        <w:rPr>
          <w:rFonts w:hint="eastAsia" w:ascii="方正小标宋简体" w:hAnsi="方正小标宋简体" w:eastAsia="方正小标宋简体" w:cs="方正小标宋简体"/>
          <w:i w:val="0"/>
          <w:caps w:val="0"/>
          <w:color w:val="333333"/>
          <w:spacing w:val="0"/>
          <w:sz w:val="44"/>
          <w:szCs w:val="44"/>
          <w:lang w:val="en-US" w:eastAsia="zh-CN"/>
        </w:rPr>
        <w:t xml:space="preserve">2022年度薛城区文旅局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caps w:val="0"/>
          <w:color w:val="333333"/>
          <w:spacing w:val="0"/>
          <w:sz w:val="44"/>
          <w:szCs w:val="44"/>
          <w:lang w:val="en-US" w:eastAsia="zh-CN"/>
        </w:rPr>
      </w:pPr>
      <w:r>
        <w:rPr>
          <w:rFonts w:hint="eastAsia" w:ascii="方正小标宋简体" w:hAnsi="方正小标宋简体" w:eastAsia="方正小标宋简体" w:cs="方正小标宋简体"/>
          <w:i w:val="0"/>
          <w:caps w:val="0"/>
          <w:color w:val="333333"/>
          <w:spacing w:val="0"/>
          <w:sz w:val="44"/>
          <w:szCs w:val="44"/>
          <w:lang w:val="en-US" w:eastAsia="zh-CN"/>
        </w:rPr>
        <w:t>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caps w:val="0"/>
          <w:color w:val="333333"/>
          <w:spacing w:val="0"/>
          <w:sz w:val="44"/>
          <w:szCs w:val="44"/>
          <w:lang w:val="en-US" w:eastAsia="zh-CN"/>
        </w:rPr>
      </w:pPr>
      <w:bookmarkStart w:id="1" w:name="_GoBack"/>
      <w:bookmarkEnd w:id="1"/>
    </w:p>
    <w:p>
      <w:pPr>
        <w:keepNext w:val="0"/>
        <w:keepLines w:val="0"/>
        <w:widowControl/>
        <w:suppressLineNumbers w:val="0"/>
        <w:pBdr>
          <w:top w:val="none" w:color="auto" w:sz="0" w:space="0"/>
          <w:left w:val="none" w:color="auto" w:sz="0" w:space="0"/>
          <w:bottom w:val="none" w:color="auto" w:sz="0" w:space="0"/>
          <w:right w:val="none" w:color="auto" w:sz="0" w:space="0"/>
        </w:pBdr>
        <w:ind w:firstLine="640" w:firstLineChars="200"/>
        <w:jc w:val="left"/>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本年度报告根据《中华人民共和国政府信息公开条例》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等六个部分。本年度报告中所列数据统计期限从2022年1月1日到2022年12月31日。</w:t>
      </w:r>
    </w:p>
    <w:p>
      <w:pPr>
        <w:widowControl/>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一、总体情况</w:t>
      </w:r>
    </w:p>
    <w:p>
      <w:pPr>
        <w:keepNext w:val="0"/>
        <w:keepLines w:val="0"/>
        <w:widowControl/>
        <w:suppressLineNumbers w:val="0"/>
        <w:pBdr>
          <w:top w:val="none" w:color="auto" w:sz="0" w:space="0"/>
          <w:left w:val="none" w:color="auto" w:sz="0" w:space="0"/>
          <w:bottom w:val="none" w:color="auto" w:sz="0" w:space="0"/>
          <w:right w:val="none" w:color="auto" w:sz="0" w:space="0"/>
        </w:pBdr>
        <w:ind w:firstLine="640" w:firstLineChars="200"/>
        <w:jc w:val="left"/>
        <w:rPr>
          <w:rFonts w:hint="eastAsia" w:ascii="仿宋_GB2312" w:hAnsi="Arial" w:eastAsia="仿宋_GB2312" w:cs="Arial"/>
          <w:color w:val="000000"/>
          <w:kern w:val="0"/>
          <w:sz w:val="32"/>
          <w:szCs w:val="32"/>
          <w:lang w:eastAsia="zh-CN"/>
        </w:rPr>
      </w:pPr>
      <w:r>
        <w:rPr>
          <w:rFonts w:hint="eastAsia" w:ascii="仿宋_GB2312" w:hAnsi="Arial" w:eastAsia="仿宋_GB2312" w:cs="Arial"/>
          <w:color w:val="000000"/>
          <w:kern w:val="0"/>
          <w:sz w:val="32"/>
          <w:szCs w:val="32"/>
          <w:lang w:eastAsia="zh-CN"/>
        </w:rPr>
        <w:t>2022年，薛城区文旅局政府信息公开工作在区委、区政府及局党组的正确领导和区政府办公室政务公开办公室的精心指导下，认真贯彻落实《中华人民共和国政府信息公开条例》，坚持以人民为中心的发展思想和以公开为常态、不公开为例外的原则，全面推进决策、执行、管理、服务、结果全过程公开。进一步细化信息公开标准、严密信息公开程序、强化信息公开监督，全力保障人民群众的知情权、参与权和监督权，切实增强人民群众的获得感和对政府工作的满意度，更好地为公众提供便利、高效的服务。</w:t>
      </w:r>
    </w:p>
    <w:p>
      <w:pPr>
        <w:keepNext w:val="0"/>
        <w:keepLines w:val="0"/>
        <w:widowControl/>
        <w:suppressLineNumbers w:val="0"/>
        <w:pBdr>
          <w:top w:val="none" w:color="auto" w:sz="0" w:space="0"/>
          <w:left w:val="none" w:color="auto" w:sz="0" w:space="0"/>
          <w:bottom w:val="none" w:color="auto" w:sz="0" w:space="0"/>
          <w:right w:val="none" w:color="auto" w:sz="0" w:space="0"/>
        </w:pBdr>
        <w:ind w:firstLine="640" w:firstLineChars="200"/>
        <w:jc w:val="left"/>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1.主动公开情况。区文旅局紧紧按照“放管服”“一次办好”改革工作要求，以优化营商环境为切入点，深化重点领域信息公开。2022年主动公开信息79条，包括重点领域4条，会议公开1条，政策解读2条，建议提案19条，其他政府信息53条。</w:t>
      </w:r>
    </w:p>
    <w:p>
      <w:pPr>
        <w:keepNext w:val="0"/>
        <w:keepLines w:val="0"/>
        <w:widowControl/>
        <w:suppressLineNumbers w:val="0"/>
        <w:pBdr>
          <w:top w:val="none" w:color="auto" w:sz="0" w:space="0"/>
          <w:left w:val="none" w:color="auto" w:sz="0" w:space="0"/>
          <w:bottom w:val="none" w:color="auto" w:sz="0" w:space="0"/>
          <w:right w:val="none" w:color="auto" w:sz="0" w:space="0"/>
        </w:pBdr>
        <w:ind w:firstLine="640" w:firstLineChars="200"/>
        <w:jc w:val="left"/>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2.依申请公开情况。2022年区文旅局共收到依申请信息公开0件。无涉及政府信息公开的行政复议、行政诉讼案件。</w:t>
      </w:r>
    </w:p>
    <w:p>
      <w:pPr>
        <w:keepNext w:val="0"/>
        <w:keepLines w:val="0"/>
        <w:widowControl/>
        <w:suppressLineNumbers w:val="0"/>
        <w:pBdr>
          <w:top w:val="none" w:color="auto" w:sz="0" w:space="0"/>
          <w:left w:val="none" w:color="auto" w:sz="0" w:space="0"/>
          <w:bottom w:val="none" w:color="auto" w:sz="0" w:space="0"/>
          <w:right w:val="none" w:color="auto" w:sz="0" w:space="0"/>
        </w:pBdr>
        <w:ind w:firstLine="640" w:firstLineChars="200"/>
        <w:jc w:val="left"/>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3.政府信息管理情况。完善各股室、局属各单位各司其职、分工协作的信息管理体系，严格执行政府信息公开审查制度，规范信息报送流程，由各股室、各单位负责同志对主动公开的信息内容和依申请公开答复事项进行信息初审，经政策法规室和分管领导审核同意后报局政务公开工作领导小组办公室进行保密审查，切实做到人人有责、层层负责、规范有序、高效透明，确保信息内容准确合规。</w:t>
      </w:r>
    </w:p>
    <w:p>
      <w:pPr>
        <w:keepNext w:val="0"/>
        <w:keepLines w:val="0"/>
        <w:widowControl/>
        <w:suppressLineNumbers w:val="0"/>
        <w:pBdr>
          <w:top w:val="none" w:color="auto" w:sz="0" w:space="0"/>
          <w:left w:val="none" w:color="auto" w:sz="0" w:space="0"/>
          <w:bottom w:val="none" w:color="auto" w:sz="0" w:space="0"/>
          <w:right w:val="none" w:color="auto" w:sz="0" w:space="0"/>
        </w:pBdr>
        <w:ind w:firstLine="640" w:firstLineChars="200"/>
        <w:jc w:val="left"/>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4.政府信息公开平台建设情况。区文旅局无独立门户网站，政务公开信息主要通过区政府门户网站发布。2022年度，区文旅局严格按照区政府集约化智能门户平台板块及栏目设置公开各项政务信息，确保应有公开栏目不漏项，信息报送保质保量。</w:t>
      </w:r>
    </w:p>
    <w:p>
      <w:pPr>
        <w:keepNext w:val="0"/>
        <w:keepLines w:val="0"/>
        <w:widowControl/>
        <w:suppressLineNumbers w:val="0"/>
        <w:pBdr>
          <w:top w:val="none" w:color="auto" w:sz="0" w:space="0"/>
          <w:left w:val="none" w:color="auto" w:sz="0" w:space="0"/>
          <w:bottom w:val="none" w:color="auto" w:sz="0" w:space="0"/>
          <w:right w:val="none" w:color="auto" w:sz="0" w:space="0"/>
        </w:pBdr>
        <w:ind w:firstLine="640" w:firstLineChars="200"/>
        <w:jc w:val="left"/>
        <w:rPr>
          <w:rFonts w:hint="eastAsia" w:ascii="楷体" w:hAnsi="楷体" w:eastAsia="楷体" w:cs="楷体"/>
          <w:sz w:val="32"/>
          <w:szCs w:val="32"/>
          <w:lang w:val="en-US" w:eastAsia="zh-CN"/>
        </w:rPr>
      </w:pPr>
      <w:r>
        <w:rPr>
          <w:rFonts w:hint="eastAsia" w:ascii="仿宋_GB2312" w:hAnsi="Arial" w:eastAsia="仿宋_GB2312" w:cs="Arial"/>
          <w:color w:val="000000"/>
          <w:kern w:val="0"/>
          <w:sz w:val="32"/>
          <w:szCs w:val="32"/>
          <w:lang w:val="en-US" w:eastAsia="zh-CN"/>
        </w:rPr>
        <w:t>5.监督保障情况。根据人员变动及时调整局政务公开工作领导小组，强化组织领导，明确责任分工。定期组织政务公开信息员业务培训，强化保密意识，提升业务水平。主动接受区政务公开办及上级行政审批部门对我局政务信息公开情况的监督，对照监督检测出的问题及时认真做好整改工作。</w:t>
      </w:r>
    </w:p>
    <w:p>
      <w:pPr>
        <w:rPr>
          <w:rFonts w:ascii="黑体" w:hAnsi="黑体" w:eastAsia="黑体"/>
          <w:sz w:val="32"/>
          <w:szCs w:val="32"/>
        </w:rPr>
      </w:pPr>
    </w:p>
    <w:p>
      <w:pPr>
        <w:jc w:val="both"/>
        <w:rPr>
          <w:rFonts w:ascii="方正小标宋简体" w:eastAsia="方正小标宋简体"/>
          <w:sz w:val="44"/>
          <w:szCs w:val="44"/>
        </w:rPr>
      </w:pPr>
      <w:r>
        <w:rPr>
          <w:rFonts w:hint="eastAsia" w:ascii="方正小标宋简体" w:eastAsia="方正小标宋简体"/>
          <w:sz w:val="44"/>
          <w:szCs w:val="44"/>
          <w:lang w:eastAsia="zh-CN"/>
        </w:rPr>
        <w:t>二、</w:t>
      </w:r>
      <w:r>
        <w:rPr>
          <w:rFonts w:hint="eastAsia" w:ascii="方正小标宋简体" w:eastAsia="方正小标宋简体"/>
          <w:sz w:val="44"/>
          <w:szCs w:val="44"/>
        </w:rPr>
        <w:t>主动公开政府信息情况统计表</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w:t>
            </w: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 xml:space="preserve">     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 xml:space="preserve">     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 xml:space="preserve">                         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ind w:firstLine="2730" w:firstLineChars="1300"/>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14</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 xml:space="preserve">                           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 xml:space="preserve">                        0 </w:t>
            </w:r>
          </w:p>
        </w:tc>
      </w:tr>
    </w:tbl>
    <w:p>
      <w:pPr>
        <w:jc w:val="center"/>
        <w:rPr>
          <w:rFonts w:ascii="仿宋_GB2312" w:eastAsia="仿宋_GB2312"/>
          <w:sz w:val="32"/>
          <w:szCs w:val="32"/>
        </w:rPr>
      </w:pPr>
    </w:p>
    <w:p>
      <w:pPr>
        <w:ind w:firstLine="640" w:firstLineChars="200"/>
        <w:rPr>
          <w:rFonts w:ascii="仿宋_GB2312" w:eastAsia="仿宋_GB2312"/>
          <w:sz w:val="32"/>
          <w:szCs w:val="32"/>
        </w:rPr>
        <w:sectPr>
          <w:pgSz w:w="11906" w:h="16838"/>
          <w:pgMar w:top="1440" w:right="1474" w:bottom="1440" w:left="1588" w:header="851" w:footer="992" w:gutter="0"/>
          <w:cols w:space="425" w:num="1"/>
          <w:docGrid w:type="lines" w:linePitch="312" w:charSpace="0"/>
        </w:sectPr>
      </w:pP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三、收到和处理政府信息公开申请情况</w:t>
      </w:r>
    </w:p>
    <w:tbl>
      <w:tblPr>
        <w:tblStyle w:val="6"/>
        <w:tblW w:w="9331" w:type="dxa"/>
        <w:jc w:val="center"/>
        <w:tblLayout w:type="autofit"/>
        <w:tblCellMar>
          <w:top w:w="0" w:type="dxa"/>
          <w:left w:w="0" w:type="dxa"/>
          <w:bottom w:w="0" w:type="dxa"/>
          <w:right w:w="0" w:type="dxa"/>
        </w:tblCellMar>
      </w:tblPr>
      <w:tblGrid>
        <w:gridCol w:w="628"/>
        <w:gridCol w:w="816"/>
        <w:gridCol w:w="2631"/>
        <w:gridCol w:w="588"/>
        <w:gridCol w:w="780"/>
        <w:gridCol w:w="660"/>
        <w:gridCol w:w="948"/>
        <w:gridCol w:w="936"/>
        <w:gridCol w:w="648"/>
        <w:gridCol w:w="696"/>
      </w:tblGrid>
      <w:tr>
        <w:tblPrEx>
          <w:tblCellMar>
            <w:top w:w="0" w:type="dxa"/>
            <w:left w:w="0" w:type="dxa"/>
            <w:bottom w:w="0" w:type="dxa"/>
            <w:right w:w="0" w:type="dxa"/>
          </w:tblCellMar>
        </w:tblPrEx>
        <w:trPr>
          <w:trHeight w:val="346" w:hRule="atLeast"/>
          <w:jc w:val="center"/>
        </w:trPr>
        <w:tc>
          <w:tcPr>
            <w:tcW w:w="407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256"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363" w:hRule="atLeast"/>
          <w:jc w:val="center"/>
        </w:trPr>
        <w:tc>
          <w:tcPr>
            <w:tcW w:w="407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8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97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695" w:hRule="atLeast"/>
          <w:jc w:val="center"/>
        </w:trPr>
        <w:tc>
          <w:tcPr>
            <w:tcW w:w="407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88"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3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96"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6" w:hRule="atLeast"/>
          <w:jc w:val="center"/>
        </w:trPr>
        <w:tc>
          <w:tcPr>
            <w:tcW w:w="407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46" w:hRule="atLeast"/>
          <w:jc w:val="center"/>
        </w:trPr>
        <w:tc>
          <w:tcPr>
            <w:tcW w:w="407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62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44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662"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44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39"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575"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71"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542"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575"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470"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422"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599"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6"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63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44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8"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447"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485" w:hRule="atLeast"/>
          <w:jc w:val="center"/>
        </w:trPr>
        <w:tc>
          <w:tcPr>
            <w:tcW w:w="407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四、结转下年度继续办理</w:t>
            </w:r>
          </w:p>
        </w:tc>
        <w:tc>
          <w:tcPr>
            <w:tcW w:w="58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3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000000"/>
                <w:kern w:val="0"/>
                <w:sz w:val="20"/>
                <w:szCs w:val="20"/>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bl>
    <w:p>
      <w:pPr>
        <w:rPr>
          <w:rFonts w:ascii="黑体" w:hAnsi="黑体" w:eastAsia="黑体"/>
          <w:sz w:val="32"/>
          <w:szCs w:val="32"/>
        </w:rPr>
      </w:pPr>
    </w:p>
    <w:p>
      <w:pPr>
        <w:widowControl/>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四、</w:t>
      </w:r>
      <w:r>
        <w:rPr>
          <w:rFonts w:hint="eastAsia" w:ascii="黑体" w:hAnsi="黑体" w:eastAsia="黑体" w:cs="宋体"/>
          <w:color w:val="000000"/>
          <w:kern w:val="0"/>
          <w:sz w:val="32"/>
          <w:szCs w:val="32"/>
        </w:rPr>
        <w:t>因政府信息公开工作被申请行政复议、提起行政诉讼情况统计表</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0" w:name="_Hlk67039688"/>
            <w:r>
              <w:rPr>
                <w:rFonts w:ascii="黑体" w:hAnsi="黑体" w:eastAsia="黑体"/>
                <w:kern w:val="0"/>
                <w:sz w:val="20"/>
                <w:szCs w:val="20"/>
              </w:rPr>
              <w:t>复议后起诉</w:t>
            </w:r>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r>
    </w:tbl>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pPr>
        <w:widowControl/>
        <w:ind w:firstLine="640" w:firstLineChars="200"/>
        <w:jc w:val="left"/>
        <w:rPr>
          <w:rFonts w:hint="eastAsia" w:ascii="仿宋_GB2312" w:hAnsi="Arial" w:eastAsia="仿宋_GB2312" w:cs="Arial"/>
          <w:b w:val="0"/>
          <w:bCs w:val="0"/>
          <w:color w:val="000000"/>
          <w:kern w:val="0"/>
          <w:sz w:val="32"/>
          <w:szCs w:val="32"/>
          <w:lang w:val="en-US" w:eastAsia="zh-CN"/>
        </w:rPr>
      </w:pPr>
      <w:r>
        <w:rPr>
          <w:rFonts w:hint="eastAsia" w:ascii="仿宋_GB2312" w:hAnsi="Arial" w:eastAsia="仿宋_GB2312" w:cs="Arial"/>
          <w:b w:val="0"/>
          <w:bCs w:val="0"/>
          <w:color w:val="000000"/>
          <w:kern w:val="0"/>
          <w:sz w:val="32"/>
          <w:szCs w:val="32"/>
          <w:lang w:val="en-US" w:eastAsia="zh-CN"/>
        </w:rPr>
        <w:t>2022年我局政务信息公开工作虽然取得了一定的成绩，但与上级要求还有一定差距。一是政务公开内容的全面性、信息公开需要进一步提高。二是部分股室和局属单位对政务公开的重要性认识不够，存在被动应付的情况；三是政务公开机制有待进一步完善。下步，本局将采取针对性措施加以改进，持续完善和提升政府信息公开工作质效。</w:t>
      </w:r>
    </w:p>
    <w:p>
      <w:pPr>
        <w:widowControl/>
        <w:numPr>
          <w:ilvl w:val="0"/>
          <w:numId w:val="1"/>
        </w:numPr>
        <w:ind w:left="0" w:leftChars="0" w:firstLine="420" w:firstLineChars="0"/>
        <w:jc w:val="left"/>
        <w:rPr>
          <w:rFonts w:hint="eastAsia" w:ascii="仿宋_GB2312" w:hAnsi="Arial" w:eastAsia="仿宋_GB2312" w:cs="Arial"/>
          <w:b w:val="0"/>
          <w:bCs w:val="0"/>
          <w:color w:val="000000"/>
          <w:kern w:val="0"/>
          <w:sz w:val="32"/>
          <w:szCs w:val="32"/>
          <w:lang w:val="en-US" w:eastAsia="zh-CN"/>
        </w:rPr>
      </w:pPr>
      <w:r>
        <w:rPr>
          <w:rFonts w:hint="eastAsia" w:ascii="楷体" w:hAnsi="楷体" w:eastAsia="楷体" w:cs="楷体"/>
          <w:sz w:val="32"/>
          <w:szCs w:val="32"/>
          <w:lang w:val="en-US" w:eastAsia="zh-CN"/>
        </w:rPr>
        <w:t>加强政府信息公开机制建设</w:t>
      </w:r>
      <w:r>
        <w:rPr>
          <w:rFonts w:hint="eastAsia" w:ascii="仿宋_GB2312" w:hAnsi="Arial" w:eastAsia="仿宋_GB2312" w:cs="Arial"/>
          <w:b/>
          <w:bCs/>
          <w:color w:val="000000"/>
          <w:kern w:val="0"/>
          <w:sz w:val="32"/>
          <w:szCs w:val="32"/>
          <w:lang w:val="en-US" w:eastAsia="zh-CN"/>
        </w:rPr>
        <w:t>。</w:t>
      </w:r>
      <w:r>
        <w:rPr>
          <w:rFonts w:hint="eastAsia" w:ascii="仿宋_GB2312" w:hAnsi="Arial" w:eastAsia="仿宋_GB2312" w:cs="Arial"/>
          <w:b w:val="0"/>
          <w:bCs w:val="0"/>
          <w:color w:val="000000"/>
          <w:kern w:val="0"/>
          <w:sz w:val="32"/>
          <w:szCs w:val="32"/>
          <w:lang w:val="en-US" w:eastAsia="zh-CN"/>
        </w:rPr>
        <w:t>积极学习借鉴其他部门好的经验做法和优秀的公开范例，结合工作实际，完善公开内容，做到依法公开、规范公开、准确公开、及时公开。</w:t>
      </w:r>
    </w:p>
    <w:p>
      <w:pPr>
        <w:widowControl/>
        <w:numPr>
          <w:ilvl w:val="0"/>
          <w:numId w:val="1"/>
        </w:numPr>
        <w:ind w:left="0" w:leftChars="0" w:firstLine="420" w:firstLineChars="0"/>
        <w:jc w:val="left"/>
        <w:rPr>
          <w:rFonts w:hint="eastAsia" w:ascii="仿宋_GB2312" w:hAnsi="Arial" w:eastAsia="仿宋_GB2312" w:cs="Arial"/>
          <w:b w:val="0"/>
          <w:bCs w:val="0"/>
          <w:color w:val="000000"/>
          <w:kern w:val="0"/>
          <w:sz w:val="32"/>
          <w:szCs w:val="32"/>
          <w:lang w:val="en-US" w:eastAsia="zh-CN"/>
        </w:rPr>
      </w:pPr>
      <w:r>
        <w:rPr>
          <w:rFonts w:hint="eastAsia" w:ascii="楷体" w:hAnsi="楷体" w:eastAsia="楷体" w:cs="楷体"/>
          <w:sz w:val="32"/>
          <w:szCs w:val="32"/>
          <w:lang w:val="en-US" w:eastAsia="zh-CN"/>
        </w:rPr>
        <w:t>加强调度督导。</w:t>
      </w:r>
      <w:r>
        <w:rPr>
          <w:rFonts w:hint="eastAsia" w:ascii="仿宋_GB2312" w:hAnsi="Arial" w:eastAsia="仿宋_GB2312" w:cs="Arial"/>
          <w:b w:val="0"/>
          <w:bCs w:val="0"/>
          <w:color w:val="000000"/>
          <w:kern w:val="0"/>
          <w:sz w:val="32"/>
          <w:szCs w:val="32"/>
          <w:lang w:val="en-US" w:eastAsia="zh-CN"/>
        </w:rPr>
        <w:t xml:space="preserve">及时调度通报政务公开工作情况，查找存在的问题，分析问题原因，督促全系统各科室、单位强化措施，保质保量保时效完成公开工作任务。 </w:t>
      </w:r>
    </w:p>
    <w:p>
      <w:pPr>
        <w:widowControl/>
        <w:numPr>
          <w:ilvl w:val="0"/>
          <w:numId w:val="1"/>
        </w:numPr>
        <w:ind w:left="0" w:leftChars="0" w:firstLine="420" w:firstLineChars="0"/>
        <w:jc w:val="left"/>
        <w:rPr>
          <w:rFonts w:hint="eastAsia" w:ascii="仿宋_GB2312" w:hAnsi="Arial" w:eastAsia="仿宋_GB2312" w:cs="Arial"/>
          <w:b w:val="0"/>
          <w:bCs w:val="0"/>
          <w:color w:val="000000"/>
          <w:kern w:val="0"/>
          <w:sz w:val="32"/>
          <w:szCs w:val="32"/>
          <w:lang w:val="en-US" w:eastAsia="zh-CN"/>
        </w:rPr>
      </w:pPr>
      <w:r>
        <w:rPr>
          <w:rFonts w:hint="eastAsia" w:ascii="楷体" w:hAnsi="楷体" w:eastAsia="楷体" w:cs="楷体"/>
          <w:sz w:val="32"/>
          <w:szCs w:val="32"/>
          <w:lang w:val="en-US" w:eastAsia="zh-CN"/>
        </w:rPr>
        <w:t>加强政务公开业务培训。</w:t>
      </w:r>
      <w:r>
        <w:rPr>
          <w:rFonts w:hint="eastAsia" w:ascii="仿宋_GB2312" w:hAnsi="Arial" w:eastAsia="仿宋_GB2312" w:cs="Arial"/>
          <w:b w:val="0"/>
          <w:bCs w:val="0"/>
          <w:color w:val="000000"/>
          <w:kern w:val="0"/>
          <w:sz w:val="32"/>
          <w:szCs w:val="32"/>
          <w:lang w:val="en-US" w:eastAsia="zh-CN"/>
        </w:rPr>
        <w:t>采取多样化形式，积极开展政务公开工作培训，学习政务公开知识和技能，交流探讨好经验、好办法、共同努力做好新形势下政务信息公开工作。</w:t>
      </w:r>
    </w:p>
    <w:p>
      <w:pPr>
        <w:widowControl/>
        <w:ind w:firstLine="640" w:firstLineChars="20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1.收取信息处理费情况方面。本年度政府信息公开申请未达到《政府信息公开信息处理费管理办法》（国办函〔2020〕109号）所规定的信息处理费收费标准，故未收取信息处理费。</w:t>
      </w:r>
    </w:p>
    <w:p>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落实上级年度政务公开工作要点情况。对照《枣庄市2022年政务公开政务公开工作要点》，围绕重点领域信息公开、政策发布解读与回应、政民互动、基层政务公开标准化规范化建设和工作保障和落实逐项明确责任主体和完成时限。</w:t>
      </w:r>
    </w:p>
    <w:p>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3.人大代表建议和政协提案办理情况方面。2022年，薛城区</w:t>
      </w:r>
      <w:r>
        <w:rPr>
          <w:rFonts w:hint="eastAsia" w:ascii="仿宋" w:hAnsi="仿宋" w:eastAsia="仿宋" w:cs="仿宋"/>
          <w:color w:val="000000"/>
          <w:kern w:val="0"/>
          <w:sz w:val="32"/>
          <w:szCs w:val="32"/>
          <w:lang w:eastAsia="zh-CN"/>
        </w:rPr>
        <w:t>文旅局</w:t>
      </w:r>
      <w:r>
        <w:rPr>
          <w:rFonts w:hint="eastAsia" w:ascii="仿宋" w:hAnsi="仿宋" w:eastAsia="仿宋" w:cs="仿宋"/>
          <w:color w:val="000000"/>
          <w:kern w:val="0"/>
          <w:sz w:val="32"/>
          <w:szCs w:val="32"/>
        </w:rPr>
        <w:t>收到</w:t>
      </w:r>
      <w:r>
        <w:rPr>
          <w:rFonts w:hint="eastAsia" w:ascii="仿宋" w:hAnsi="仿宋" w:eastAsia="仿宋" w:cstheme="minorBidi"/>
          <w:b w:val="0"/>
          <w:i w:val="0"/>
          <w:caps w:val="0"/>
          <w:spacing w:val="0"/>
          <w:w w:val="100"/>
          <w:sz w:val="32"/>
          <w:lang w:val="en-US" w:eastAsia="zh-CN"/>
        </w:rPr>
        <w:t>人大代表建议件4件，</w:t>
      </w:r>
      <w:r>
        <w:rPr>
          <w:rFonts w:hint="eastAsia" w:ascii="仿宋" w:hAnsi="仿宋" w:eastAsia="仿宋" w:cs="仿宋"/>
          <w:color w:val="000000"/>
          <w:kern w:val="0"/>
          <w:sz w:val="32"/>
          <w:szCs w:val="32"/>
        </w:rPr>
        <w:t>区政协提案</w:t>
      </w:r>
      <w:r>
        <w:rPr>
          <w:rFonts w:hint="eastAsia" w:ascii="仿宋" w:hAnsi="仿宋" w:eastAsia="仿宋" w:cs="仿宋"/>
          <w:color w:val="000000"/>
          <w:kern w:val="0"/>
          <w:sz w:val="32"/>
          <w:szCs w:val="32"/>
          <w:lang w:val="en-US" w:eastAsia="zh-CN"/>
        </w:rPr>
        <w:t>15</w:t>
      </w:r>
      <w:r>
        <w:rPr>
          <w:rFonts w:hint="eastAsia" w:ascii="仿宋" w:hAnsi="仿宋" w:eastAsia="仿宋" w:cs="仿宋"/>
          <w:color w:val="000000"/>
          <w:kern w:val="0"/>
          <w:sz w:val="32"/>
          <w:szCs w:val="32"/>
        </w:rPr>
        <w:t>件，内容涉及“进一步规范政府信息依申请公开”。截至2022年底，已办理并答复完毕。</w:t>
      </w:r>
    </w:p>
    <w:p>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4.开展政务公开创新方面。</w:t>
      </w:r>
      <w:r>
        <w:rPr>
          <w:rFonts w:hint="eastAsia" w:ascii="仿宋" w:hAnsi="仿宋" w:eastAsia="仿宋" w:cs="仿宋"/>
          <w:color w:val="000000"/>
          <w:kern w:val="0"/>
          <w:sz w:val="32"/>
          <w:szCs w:val="32"/>
          <w:lang w:eastAsia="zh-CN"/>
        </w:rPr>
        <w:t>区文旅局</w:t>
      </w:r>
      <w:r>
        <w:rPr>
          <w:rFonts w:hint="eastAsia" w:ascii="仿宋" w:hAnsi="仿宋" w:eastAsia="仿宋" w:cs="仿宋"/>
          <w:color w:val="000000"/>
          <w:kern w:val="0"/>
          <w:sz w:val="32"/>
          <w:szCs w:val="32"/>
        </w:rPr>
        <w:t>持续推进公共企事业单位信息公开、政府开放日、等创新形式。</w:t>
      </w:r>
    </w:p>
    <w:p>
      <w:pPr>
        <w:widowControl/>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5.本单位政府信息公开工作年度报告数据统计需要说明的事项：无</w:t>
      </w:r>
    </w:p>
    <w:p>
      <w:pPr>
        <w:widowControl/>
        <w:ind w:firstLine="640" w:firstLineChars="200"/>
        <w:jc w:val="left"/>
        <w:rPr>
          <w:rFonts w:hint="eastAsia" w:ascii="仿宋" w:hAnsi="仿宋" w:eastAsia="仿宋" w:cs="仿宋"/>
          <w:lang w:val="en-US" w:eastAsia="zh-CN"/>
        </w:rPr>
      </w:pPr>
      <w:r>
        <w:rPr>
          <w:rFonts w:hint="eastAsia" w:ascii="仿宋" w:hAnsi="仿宋" w:eastAsia="仿宋" w:cs="仿宋"/>
          <w:color w:val="000000"/>
          <w:kern w:val="0"/>
          <w:sz w:val="32"/>
          <w:szCs w:val="32"/>
        </w:rPr>
        <w:t>6.其他有关文件专门要求通过政府信息公开工作年度报告予以报告的事项：无</w:t>
      </w:r>
      <w:r>
        <w:rPr>
          <w:rFonts w:hint="eastAsia" w:ascii="仿宋" w:hAnsi="仿宋" w:eastAsia="仿宋" w:cs="仿宋"/>
          <w:lang w:val="en-US" w:eastAsia="zh-CN"/>
        </w:rPr>
        <w:t xml:space="preserve">        </w:t>
      </w:r>
    </w:p>
    <w:p>
      <w:pPr>
        <w:widowControl/>
        <w:ind w:firstLine="420" w:firstLineChars="200"/>
        <w:jc w:val="right"/>
        <w:rPr>
          <w:rFonts w:hint="eastAsia" w:ascii="仿宋_GB2312" w:hAnsi="黑体" w:eastAsia="仿宋_GB2312" w:cs="宋体"/>
          <w:color w:val="000000"/>
          <w:kern w:val="0"/>
          <w:sz w:val="32"/>
          <w:szCs w:val="32"/>
          <w:lang w:val="en-US" w:eastAsia="zh-CN"/>
        </w:rPr>
      </w:pPr>
      <w:r>
        <w:rPr>
          <w:rFonts w:hint="eastAsia"/>
          <w:lang w:val="en-US" w:eastAsia="zh-CN"/>
        </w:rPr>
        <w:t xml:space="preserve">                                 </w:t>
      </w:r>
      <w:r>
        <w:rPr>
          <w:rFonts w:hint="eastAsia" w:ascii="仿宋_GB2312" w:hAnsi="黑体" w:eastAsia="仿宋_GB2312" w:cs="宋体"/>
          <w:color w:val="000000"/>
          <w:kern w:val="0"/>
          <w:sz w:val="32"/>
          <w:szCs w:val="32"/>
          <w:lang w:val="en-US" w:eastAsia="zh-CN"/>
        </w:rPr>
        <w:t xml:space="preserve">  </w:t>
      </w:r>
    </w:p>
    <w:p>
      <w:pPr>
        <w:widowControl/>
        <w:ind w:firstLine="640" w:firstLineChars="200"/>
        <w:jc w:val="right"/>
        <w:rPr>
          <w:rFonts w:hint="eastAsia" w:ascii="仿宋_GB2312" w:hAnsi="黑体" w:eastAsia="仿宋_GB2312" w:cs="宋体"/>
          <w:color w:val="000000"/>
          <w:kern w:val="0"/>
          <w:sz w:val="32"/>
          <w:szCs w:val="32"/>
          <w:lang w:val="en-US" w:eastAsia="zh-CN"/>
        </w:rPr>
      </w:pPr>
    </w:p>
    <w:p>
      <w:pPr>
        <w:widowControl/>
        <w:ind w:firstLine="640" w:firstLineChars="200"/>
        <w:jc w:val="right"/>
        <w:rPr>
          <w:rFonts w:hint="eastAsia" w:ascii="仿宋_GB2312" w:hAnsi="黑体" w:eastAsia="仿宋_GB2312" w:cs="宋体"/>
          <w:color w:val="000000"/>
          <w:kern w:val="0"/>
          <w:sz w:val="32"/>
          <w:szCs w:val="32"/>
          <w:lang w:val="en-US" w:eastAsia="zh-CN"/>
        </w:rPr>
      </w:pPr>
      <w:r>
        <w:rPr>
          <w:rFonts w:hint="eastAsia" w:ascii="仿宋_GB2312" w:hAnsi="黑体" w:eastAsia="仿宋_GB2312" w:cs="宋体"/>
          <w:color w:val="000000"/>
          <w:kern w:val="0"/>
          <w:sz w:val="32"/>
          <w:szCs w:val="32"/>
          <w:lang w:val="en-US" w:eastAsia="zh-CN"/>
        </w:rPr>
        <w:t>薛城区文化和旅游局</w:t>
      </w:r>
    </w:p>
    <w:p>
      <w:pPr>
        <w:widowControl/>
        <w:ind w:firstLine="640" w:firstLineChars="200"/>
        <w:jc w:val="center"/>
        <w:rPr>
          <w:rFonts w:ascii="仿宋_GB2312" w:eastAsia="仿宋_GB2312"/>
          <w:sz w:val="32"/>
          <w:szCs w:val="32"/>
        </w:rPr>
      </w:pPr>
      <w:r>
        <w:rPr>
          <w:rFonts w:hint="eastAsia" w:ascii="仿宋_GB2312" w:hAnsi="黑体" w:eastAsia="仿宋_GB2312" w:cs="宋体"/>
          <w:color w:val="000000"/>
          <w:kern w:val="0"/>
          <w:sz w:val="32"/>
          <w:szCs w:val="32"/>
          <w:lang w:val="en-US" w:eastAsia="zh-CN"/>
        </w:rPr>
        <w:t xml:space="preserve">                                 2023年1月23日</w:t>
      </w: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叶根友毛笔行书2.0版">
    <w:altName w:val="宋体"/>
    <w:panose1 w:val="02010601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0C6BB"/>
    <w:multiLevelType w:val="singleLevel"/>
    <w:tmpl w:val="1DA0C6BB"/>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5ZTVhZmIxMTcxMmY3ZTc2M2E1YWFkOTllMTczM2EifQ=="/>
  </w:docVars>
  <w:rsids>
    <w:rsidRoot w:val="00502C34"/>
    <w:rsid w:val="0003350B"/>
    <w:rsid w:val="000500B1"/>
    <w:rsid w:val="0006512C"/>
    <w:rsid w:val="000A57BF"/>
    <w:rsid w:val="000B4F9F"/>
    <w:rsid w:val="000C1FDA"/>
    <w:rsid w:val="00121655"/>
    <w:rsid w:val="00123E53"/>
    <w:rsid w:val="001679FF"/>
    <w:rsid w:val="00180B4F"/>
    <w:rsid w:val="00196721"/>
    <w:rsid w:val="001F026B"/>
    <w:rsid w:val="00203F15"/>
    <w:rsid w:val="00211F6A"/>
    <w:rsid w:val="00243BAF"/>
    <w:rsid w:val="00286BF3"/>
    <w:rsid w:val="002B58BB"/>
    <w:rsid w:val="00315DDF"/>
    <w:rsid w:val="00333740"/>
    <w:rsid w:val="00372E47"/>
    <w:rsid w:val="00384B12"/>
    <w:rsid w:val="00392DAD"/>
    <w:rsid w:val="003C1943"/>
    <w:rsid w:val="004162E7"/>
    <w:rsid w:val="00463EF5"/>
    <w:rsid w:val="004D3C2B"/>
    <w:rsid w:val="004D6D24"/>
    <w:rsid w:val="00502C34"/>
    <w:rsid w:val="00515416"/>
    <w:rsid w:val="00531FBB"/>
    <w:rsid w:val="00552F1D"/>
    <w:rsid w:val="005548EB"/>
    <w:rsid w:val="00612182"/>
    <w:rsid w:val="00683E94"/>
    <w:rsid w:val="006B5301"/>
    <w:rsid w:val="006E2A67"/>
    <w:rsid w:val="00760120"/>
    <w:rsid w:val="007E43CD"/>
    <w:rsid w:val="008244CB"/>
    <w:rsid w:val="00846109"/>
    <w:rsid w:val="00851E51"/>
    <w:rsid w:val="008C68B1"/>
    <w:rsid w:val="00923DE3"/>
    <w:rsid w:val="00990BC0"/>
    <w:rsid w:val="009D1EAC"/>
    <w:rsid w:val="00A9562B"/>
    <w:rsid w:val="00AC0838"/>
    <w:rsid w:val="00AC0B55"/>
    <w:rsid w:val="00B0360E"/>
    <w:rsid w:val="00B06CEF"/>
    <w:rsid w:val="00B82BD5"/>
    <w:rsid w:val="00B846A3"/>
    <w:rsid w:val="00BA1959"/>
    <w:rsid w:val="00BB1402"/>
    <w:rsid w:val="00BD1F13"/>
    <w:rsid w:val="00BD2DFA"/>
    <w:rsid w:val="00BF2FF7"/>
    <w:rsid w:val="00C106D4"/>
    <w:rsid w:val="00C24C5F"/>
    <w:rsid w:val="00C74995"/>
    <w:rsid w:val="00CA2A1F"/>
    <w:rsid w:val="00CE332F"/>
    <w:rsid w:val="00D206E1"/>
    <w:rsid w:val="00DD7168"/>
    <w:rsid w:val="00DF3523"/>
    <w:rsid w:val="00DF7D80"/>
    <w:rsid w:val="00ED6874"/>
    <w:rsid w:val="00ED698F"/>
    <w:rsid w:val="00EE7943"/>
    <w:rsid w:val="00F01622"/>
    <w:rsid w:val="00F03027"/>
    <w:rsid w:val="00F42818"/>
    <w:rsid w:val="00F57A9C"/>
    <w:rsid w:val="00F7173D"/>
    <w:rsid w:val="00F90155"/>
    <w:rsid w:val="00FC01CB"/>
    <w:rsid w:val="00FF3FF5"/>
    <w:rsid w:val="00FF65C3"/>
    <w:rsid w:val="0DC254EA"/>
    <w:rsid w:val="14613F60"/>
    <w:rsid w:val="1E361E0B"/>
    <w:rsid w:val="202527AB"/>
    <w:rsid w:val="28DA206A"/>
    <w:rsid w:val="3C787E8C"/>
    <w:rsid w:val="3CD23412"/>
    <w:rsid w:val="42FD3EAF"/>
    <w:rsid w:val="437E0C1E"/>
    <w:rsid w:val="48C178EC"/>
    <w:rsid w:val="4A873B74"/>
    <w:rsid w:val="4EB9195E"/>
    <w:rsid w:val="5A3D3E66"/>
    <w:rsid w:val="5B1F58FC"/>
    <w:rsid w:val="5CA5200E"/>
    <w:rsid w:val="5E446259"/>
    <w:rsid w:val="601C5E1C"/>
    <w:rsid w:val="60D944E3"/>
    <w:rsid w:val="6C3C0FDC"/>
    <w:rsid w:val="714E3B41"/>
    <w:rsid w:val="71DC1F7A"/>
    <w:rsid w:val="73F85EC6"/>
    <w:rsid w:val="7AEBD7F9"/>
    <w:rsid w:val="7D272C9D"/>
    <w:rsid w:val="7EB450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character" w:styleId="9">
    <w:name w:val="FollowedHyperlink"/>
    <w:basedOn w:val="7"/>
    <w:unhideWhenUsed/>
    <w:qFormat/>
    <w:uiPriority w:val="99"/>
    <w:rPr>
      <w:color w:val="337AB7"/>
      <w:u w:val="single"/>
    </w:rPr>
  </w:style>
  <w:style w:type="character" w:styleId="10">
    <w:name w:val="Emphasis"/>
    <w:basedOn w:val="7"/>
    <w:qFormat/>
    <w:uiPriority w:val="20"/>
    <w:rPr>
      <w:color w:val="C60A00"/>
    </w:rPr>
  </w:style>
  <w:style w:type="character" w:styleId="11">
    <w:name w:val="HTML Definition"/>
    <w:basedOn w:val="7"/>
    <w:unhideWhenUsed/>
    <w:qFormat/>
    <w:uiPriority w:val="99"/>
    <w:rPr>
      <w:i/>
    </w:rPr>
  </w:style>
  <w:style w:type="character" w:styleId="12">
    <w:name w:val="Hyperlink"/>
    <w:basedOn w:val="7"/>
    <w:unhideWhenUsed/>
    <w:qFormat/>
    <w:uiPriority w:val="99"/>
    <w:rPr>
      <w:color w:val="337AB7"/>
      <w:u w:val="single"/>
    </w:rPr>
  </w:style>
  <w:style w:type="character" w:styleId="13">
    <w:name w:val="HTML Code"/>
    <w:basedOn w:val="7"/>
    <w:unhideWhenUsed/>
    <w:qFormat/>
    <w:uiPriority w:val="99"/>
    <w:rPr>
      <w:rFonts w:ascii="Menlo" w:hAnsi="Menlo" w:eastAsia="Menlo" w:cs="Menlo"/>
      <w:color w:val="C7254E"/>
      <w:sz w:val="21"/>
      <w:szCs w:val="21"/>
      <w:shd w:val="clear" w:fill="F9F2F4"/>
    </w:rPr>
  </w:style>
  <w:style w:type="character" w:styleId="14">
    <w:name w:val="HTML Cite"/>
    <w:basedOn w:val="7"/>
    <w:semiHidden/>
    <w:unhideWhenUsed/>
    <w:qFormat/>
    <w:uiPriority w:val="99"/>
    <w:rPr>
      <w:color w:val="008000"/>
    </w:rPr>
  </w:style>
  <w:style w:type="character" w:styleId="15">
    <w:name w:val="HTML Keyboard"/>
    <w:basedOn w:val="7"/>
    <w:unhideWhenUsed/>
    <w:qFormat/>
    <w:uiPriority w:val="99"/>
    <w:rPr>
      <w:rFonts w:hint="default" w:ascii="Menlo" w:hAnsi="Menlo" w:eastAsia="Menlo" w:cs="Menlo"/>
      <w:color w:val="FFFFFF"/>
      <w:sz w:val="21"/>
      <w:szCs w:val="21"/>
      <w:shd w:val="clear" w:fill="333333"/>
    </w:rPr>
  </w:style>
  <w:style w:type="character" w:styleId="16">
    <w:name w:val="HTML Sample"/>
    <w:basedOn w:val="7"/>
    <w:unhideWhenUsed/>
    <w:qFormat/>
    <w:uiPriority w:val="99"/>
    <w:rPr>
      <w:rFonts w:hint="default" w:ascii="Menlo" w:hAnsi="Menlo" w:eastAsia="Menlo" w:cs="Menlo"/>
      <w:sz w:val="21"/>
      <w:szCs w:val="21"/>
    </w:rPr>
  </w:style>
  <w:style w:type="character" w:customStyle="1" w:styleId="17">
    <w:name w:val="页眉 字符"/>
    <w:basedOn w:val="7"/>
    <w:link w:val="5"/>
    <w:qFormat/>
    <w:uiPriority w:val="99"/>
    <w:rPr>
      <w:sz w:val="18"/>
      <w:szCs w:val="18"/>
    </w:rPr>
  </w:style>
  <w:style w:type="character" w:customStyle="1" w:styleId="18">
    <w:name w:val="页脚 字符"/>
    <w:basedOn w:val="7"/>
    <w:link w:val="4"/>
    <w:qFormat/>
    <w:uiPriority w:val="99"/>
    <w:rPr>
      <w:sz w:val="18"/>
      <w:szCs w:val="18"/>
    </w:rPr>
  </w:style>
  <w:style w:type="character" w:customStyle="1" w:styleId="19">
    <w:name w:val="标题 1 字符"/>
    <w:basedOn w:val="7"/>
    <w:link w:val="2"/>
    <w:qFormat/>
    <w:uiPriority w:val="9"/>
    <w:rPr>
      <w:b/>
      <w:bCs/>
      <w:kern w:val="44"/>
      <w:sz w:val="44"/>
      <w:szCs w:val="44"/>
    </w:rPr>
  </w:style>
  <w:style w:type="character" w:customStyle="1" w:styleId="20">
    <w:name w:val="标题 2 字符"/>
    <w:basedOn w:val="7"/>
    <w:link w:val="3"/>
    <w:qFormat/>
    <w:uiPriority w:val="9"/>
    <w:rPr>
      <w:rFonts w:asciiTheme="majorHAnsi" w:hAnsiTheme="majorHAnsi" w:eastAsiaTheme="majorEastAsia" w:cstheme="majorBidi"/>
      <w:b/>
      <w:bCs/>
      <w:sz w:val="32"/>
      <w:szCs w:val="32"/>
    </w:rPr>
  </w:style>
  <w:style w:type="paragraph" w:customStyle="1" w:styleId="21">
    <w:name w:val="List Paragraph"/>
    <w:basedOn w:val="1"/>
    <w:qFormat/>
    <w:uiPriority w:val="34"/>
    <w:pPr>
      <w:ind w:firstLine="420" w:firstLineChars="200"/>
    </w:pPr>
  </w:style>
  <w:style w:type="character" w:customStyle="1" w:styleId="22">
    <w:name w:val="hover22"/>
    <w:basedOn w:val="7"/>
    <w:qFormat/>
    <w:uiPriority w:val="0"/>
    <w:rPr>
      <w:color w:val="315EFB"/>
    </w:rPr>
  </w:style>
  <w:style w:type="character" w:customStyle="1" w:styleId="23">
    <w:name w:val="hover23"/>
    <w:basedOn w:val="7"/>
    <w:qFormat/>
    <w:uiPriority w:val="0"/>
    <w:rPr>
      <w:color w:val="315EFB"/>
    </w:rPr>
  </w:style>
  <w:style w:type="character" w:customStyle="1" w:styleId="24">
    <w:name w:val="hover24"/>
    <w:basedOn w:val="7"/>
    <w:qFormat/>
    <w:uiPriority w:val="0"/>
    <w:rPr>
      <w:color w:val="FFF762"/>
    </w:rPr>
  </w:style>
  <w:style w:type="character" w:customStyle="1" w:styleId="25">
    <w:name w:val="hover25"/>
    <w:basedOn w:val="7"/>
    <w:qFormat/>
    <w:uiPriority w:val="0"/>
    <w:rPr>
      <w:color w:val="FFF76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2412</Words>
  <Characters>2480</Characters>
  <Lines>75</Lines>
  <Paragraphs>21</Paragraphs>
  <TotalTime>1</TotalTime>
  <ScaleCrop>false</ScaleCrop>
  <LinksUpToDate>false</LinksUpToDate>
  <CharactersWithSpaces>2834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2021-09-03T15:57:00Z</dcterms:created>
  <dc:creator>qiyuanhua0168@163.com</dc:creator>
  <cp:lastModifiedBy>Administrator</cp:lastModifiedBy>
  <cp:lastPrinted>2022-01-13T01:27:00Z</cp:lastPrinted>
  <dcterms:modified xsi:type="dcterms:W3CDTF">2023-02-08T08:07:16Z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1964EDB793AE4BCF8B6495F02ED28615</vt:lpwstr>
  </property>
</Properties>
</file>