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kern w:val="0"/>
          <w:sz w:val="44"/>
          <w:szCs w:val="44"/>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薛城区统计局2022年政府信息公开</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工作年度报告</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kern w:val="0"/>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2022年1月1日到2022年12月31日。</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rPr>
      </w:pPr>
      <w:bookmarkStart w:id="0" w:name="_GoBack"/>
      <w:bookmarkEnd w:id="0"/>
      <w:r>
        <w:rPr>
          <w:rFonts w:hint="default" w:ascii="Times New Roman" w:hAnsi="Times New Roman" w:eastAsia="黑体" w:cs="Times New Roman"/>
          <w:color w:val="000000"/>
          <w:kern w:val="0"/>
          <w:sz w:val="32"/>
          <w:szCs w:val="32"/>
        </w:rPr>
        <w:t>一、总体情况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2022年我局严格贯彻落实《中华人民共和国政府信息公开条例》，持续加强政府信息公开工作。按照“统一协调、分工负责”的原则，健全政府信息公开、政务公开领导体制和工作机制，完善政府信息公开工作实施细则，明确统计信息公开职责，加强组织学习，更新信息公开内容，促进政府信息公开工作有序运转。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（一）主动公开情况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截至2022年12月31日，我局全年累计主动公开政府信息57条，主动及时公开率100%。其中公开信息包括：统计信息45条；统计分析类信息12条；统计公报1条</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（二）依申请公开情况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依申请公开情况。全年共收到依申请公开0件，公开0件，不予公开0件，因政府信息依申请公开引起行政复议0件，行政诉讼0件。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（三）政府信息管理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明确专人负责，由信息公开工作分管领导和专门人员负责政府信息公开工作；严格信息审查，明确审查程序和责任，对信息发布的审核、更新及管理加强；强化工作落实，针对发布要求和群众需求，不断优化信息发布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（四）平台建设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政府信息公开平台建设情况。及时完善三台县政府信息公开专栏各版块内容更新和信息上传。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（五）监督保障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完善考核机制，加强督促指导。围绕政务公开重点工作、薄弱环节和瓶颈问题加大政务公开绩效考核力度，提升主动公开等工作的考核分值比重。2022年，我单位未发生责任追究情况。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二、主动公开政府信息情况</w:t>
      </w:r>
    </w:p>
    <w:tbl>
      <w:tblPr>
        <w:tblStyle w:val="5"/>
        <w:tblW w:w="7453" w:type="dxa"/>
        <w:jc w:val="center"/>
        <w:tblLayout w:type="autofit"/>
        <w:tblCellMar>
          <w:top w:w="15" w:type="dxa"/>
          <w:left w:w="15" w:type="dxa"/>
          <w:bottom w:w="15" w:type="dxa"/>
          <w:right w:w="15" w:type="dxa"/>
        </w:tblCellMar>
      </w:tblPr>
      <w:tblGrid>
        <w:gridCol w:w="1863"/>
        <w:gridCol w:w="1863"/>
        <w:gridCol w:w="1863"/>
        <w:gridCol w:w="1864"/>
      </w:tblGrid>
      <w:tr>
        <w:tblPrEx>
          <w:tblCellMar>
            <w:top w:w="15" w:type="dxa"/>
            <w:left w:w="15" w:type="dxa"/>
            <w:bottom w:w="15" w:type="dxa"/>
            <w:right w:w="15" w:type="dxa"/>
          </w:tblCellMar>
        </w:tblPrEx>
        <w:trPr>
          <w:trHeight w:val="415" w:hRule="atLeast"/>
          <w:jc w:val="center"/>
        </w:trPr>
        <w:tc>
          <w:tcPr>
            <w:tcW w:w="7453"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第二十条第（一）项</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信息内容</w:t>
            </w:r>
          </w:p>
        </w:tc>
        <w:tc>
          <w:tcPr>
            <w:tcW w:w="1866" w:type="dxa"/>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本年制发件数</w:t>
            </w:r>
          </w:p>
        </w:tc>
        <w:tc>
          <w:tcPr>
            <w:tcW w:w="1866" w:type="dxa"/>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本年废止件数</w:t>
            </w:r>
          </w:p>
        </w:tc>
        <w:tc>
          <w:tcPr>
            <w:tcW w:w="1866" w:type="dxa"/>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现行有效件数</w:t>
            </w:r>
          </w:p>
        </w:tc>
      </w:tr>
      <w:tr>
        <w:tblPrEx>
          <w:tblCellMar>
            <w:top w:w="15" w:type="dxa"/>
            <w:left w:w="15" w:type="dxa"/>
            <w:bottom w:w="15" w:type="dxa"/>
            <w:right w:w="15" w:type="dxa"/>
          </w:tblCellMar>
        </w:tblPrEx>
        <w:trPr>
          <w:trHeight w:val="392"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规章</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行政规范性文件</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c>
          <w:tcPr>
            <w:tcW w:w="186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380" w:hRule="atLeast"/>
          <w:jc w:val="center"/>
        </w:trPr>
        <w:tc>
          <w:tcPr>
            <w:tcW w:w="7453" w:type="dxa"/>
            <w:gridSpan w:val="4"/>
            <w:tcBorders>
              <w:top w:val="nil"/>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第二十条第（五）项</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信息内容</w:t>
            </w:r>
          </w:p>
        </w:tc>
        <w:tc>
          <w:tcPr>
            <w:tcW w:w="5587"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本年处理决定数量</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行政许可</w:t>
            </w:r>
          </w:p>
        </w:tc>
        <w:tc>
          <w:tcPr>
            <w:tcW w:w="5587"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253" w:hRule="atLeast"/>
          <w:jc w:val="center"/>
        </w:trPr>
        <w:tc>
          <w:tcPr>
            <w:tcW w:w="7453" w:type="dxa"/>
            <w:gridSpan w:val="4"/>
            <w:tcBorders>
              <w:top w:val="nil"/>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第二十条第（六）项</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信息内容</w:t>
            </w:r>
          </w:p>
        </w:tc>
        <w:tc>
          <w:tcPr>
            <w:tcW w:w="5587" w:type="dxa"/>
            <w:gridSpan w:val="3"/>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本年处理决定数量</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行政处罚</w:t>
            </w:r>
          </w:p>
        </w:tc>
        <w:tc>
          <w:tcPr>
            <w:tcW w:w="5587"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行政强制</w:t>
            </w:r>
          </w:p>
        </w:tc>
        <w:tc>
          <w:tcPr>
            <w:tcW w:w="5587" w:type="dxa"/>
            <w:gridSpan w:val="3"/>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r>
        <w:tblPrEx>
          <w:tblCellMar>
            <w:top w:w="15" w:type="dxa"/>
            <w:left w:w="15" w:type="dxa"/>
            <w:bottom w:w="15" w:type="dxa"/>
            <w:right w:w="15" w:type="dxa"/>
          </w:tblCellMar>
        </w:tblPrEx>
        <w:trPr>
          <w:trHeight w:val="253" w:hRule="atLeast"/>
          <w:jc w:val="center"/>
        </w:trPr>
        <w:tc>
          <w:tcPr>
            <w:tcW w:w="7453" w:type="dxa"/>
            <w:gridSpan w:val="4"/>
            <w:tcBorders>
              <w:top w:val="nil"/>
              <w:left w:val="single" w:color="auto" w:sz="4" w:space="0"/>
              <w:bottom w:val="single" w:color="auto" w:sz="4" w:space="0"/>
              <w:right w:val="single" w:color="auto" w:sz="4" w:space="0"/>
            </w:tcBorders>
            <w:shd w:val="clear" w:color="auto" w:fill="C6D9F1"/>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第二十条第（八）项</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信息内容</w:t>
            </w:r>
          </w:p>
        </w:tc>
        <w:tc>
          <w:tcPr>
            <w:tcW w:w="5587" w:type="dxa"/>
            <w:gridSpan w:val="3"/>
            <w:tcBorders>
              <w:top w:val="nil"/>
              <w:left w:val="nil"/>
              <w:bottom w:val="single" w:color="auto" w:sz="4" w:space="0"/>
              <w:right w:val="single" w:color="000000"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本年收费金额（单位：万元）</w:t>
            </w:r>
          </w:p>
        </w:tc>
      </w:tr>
      <w:tr>
        <w:tblPrEx>
          <w:tblCellMar>
            <w:top w:w="15" w:type="dxa"/>
            <w:left w:w="15" w:type="dxa"/>
            <w:bottom w:w="15" w:type="dxa"/>
            <w:right w:w="15" w:type="dxa"/>
          </w:tblCellMar>
        </w:tblPrEx>
        <w:trPr>
          <w:trHeight w:val="253" w:hRule="atLeast"/>
          <w:jc w:val="center"/>
        </w:trPr>
        <w:tc>
          <w:tcPr>
            <w:tcW w:w="1866" w:type="dxa"/>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行政事业性收费</w:t>
            </w:r>
          </w:p>
        </w:tc>
        <w:tc>
          <w:tcPr>
            <w:tcW w:w="5587" w:type="dxa"/>
            <w:gridSpan w:val="3"/>
            <w:tcBorders>
              <w:top w:val="nil"/>
              <w:left w:val="nil"/>
              <w:bottom w:val="single" w:color="auto" w:sz="4" w:space="0"/>
              <w:right w:val="single" w:color="000000"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8"/>
                <w:szCs w:val="18"/>
              </w:rPr>
              <w:t>0</w:t>
            </w:r>
          </w:p>
        </w:tc>
      </w:tr>
    </w:tbl>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三、收到和处理政府信息公开申请情况</w:t>
      </w:r>
    </w:p>
    <w:tbl>
      <w:tblPr>
        <w:tblStyle w:val="5"/>
        <w:tblW w:w="7488" w:type="dxa"/>
        <w:jc w:val="center"/>
        <w:tblLayout w:type="autofit"/>
        <w:tblCellMar>
          <w:top w:w="15" w:type="dxa"/>
          <w:left w:w="15" w:type="dxa"/>
          <w:bottom w:w="15" w:type="dxa"/>
          <w:right w:w="15" w:type="dxa"/>
        </w:tblCellMar>
      </w:tblPr>
      <w:tblGrid>
        <w:gridCol w:w="576"/>
        <w:gridCol w:w="703"/>
        <w:gridCol w:w="2557"/>
        <w:gridCol w:w="484"/>
        <w:gridCol w:w="530"/>
        <w:gridCol w:w="507"/>
        <w:gridCol w:w="541"/>
        <w:gridCol w:w="530"/>
        <w:gridCol w:w="530"/>
        <w:gridCol w:w="530"/>
      </w:tblGrid>
      <w:tr>
        <w:tblPrEx>
          <w:tblCellMar>
            <w:top w:w="15" w:type="dxa"/>
            <w:left w:w="15" w:type="dxa"/>
            <w:bottom w:w="15" w:type="dxa"/>
            <w:right w:w="15" w:type="dxa"/>
          </w:tblCellMar>
        </w:tblPrEx>
        <w:trPr>
          <w:jc w:val="center"/>
        </w:trPr>
        <w:tc>
          <w:tcPr>
            <w:tcW w:w="3836" w:type="dxa"/>
            <w:gridSpan w:val="3"/>
            <w:vMerge w:val="restart"/>
            <w:tcBorders>
              <w:top w:val="single" w:color="auto" w:sz="4" w:space="0"/>
              <w:left w:val="single" w:color="auto" w:sz="4" w:space="0"/>
              <w:bottom w:val="outset"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（本列数据的勾稽关系为：第一项加第二项之和，等于第三项加第四项之和）</w:t>
            </w:r>
          </w:p>
        </w:tc>
        <w:tc>
          <w:tcPr>
            <w:tcW w:w="3652" w:type="dxa"/>
            <w:gridSpan w:val="7"/>
            <w:tcBorders>
              <w:top w:val="single" w:color="auto" w:sz="4" w:space="0"/>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484" w:type="dxa"/>
            <w:vMerge w:val="restart"/>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自然人</w:t>
            </w:r>
          </w:p>
        </w:tc>
        <w:tc>
          <w:tcPr>
            <w:tcW w:w="2638" w:type="dxa"/>
            <w:gridSpan w:val="5"/>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法人或其他组织</w:t>
            </w:r>
          </w:p>
        </w:tc>
        <w:tc>
          <w:tcPr>
            <w:tcW w:w="530"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530"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商业</w:t>
            </w:r>
          </w:p>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企业</w:t>
            </w:r>
          </w:p>
        </w:tc>
        <w:tc>
          <w:tcPr>
            <w:tcW w:w="507"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科研</w:t>
            </w:r>
          </w:p>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机构</w:t>
            </w:r>
          </w:p>
        </w:tc>
        <w:tc>
          <w:tcPr>
            <w:tcW w:w="541"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社会公益组织</w:t>
            </w:r>
          </w:p>
        </w:tc>
        <w:tc>
          <w:tcPr>
            <w:tcW w:w="530"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法律服务机构</w:t>
            </w:r>
          </w:p>
        </w:tc>
        <w:tc>
          <w:tcPr>
            <w:tcW w:w="530" w:type="dxa"/>
            <w:tcBorders>
              <w:top w:val="single" w:color="auto" w:sz="4" w:space="0"/>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其他</w:t>
            </w: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r>
      <w:tr>
        <w:tblPrEx>
          <w:tblCellMar>
            <w:top w:w="15" w:type="dxa"/>
            <w:left w:w="15" w:type="dxa"/>
            <w:bottom w:w="15" w:type="dxa"/>
            <w:right w:w="15" w:type="dxa"/>
          </w:tblCellMar>
        </w:tblPrEx>
        <w:trPr>
          <w:trHeight w:val="276" w:hRule="atLeast"/>
          <w:jc w:val="center"/>
        </w:trPr>
        <w:tc>
          <w:tcPr>
            <w:tcW w:w="3836" w:type="dxa"/>
            <w:gridSpan w:val="3"/>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一、本年新收政府信息公开申请数量</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300" w:hRule="atLeast"/>
          <w:jc w:val="center"/>
        </w:trPr>
        <w:tc>
          <w:tcPr>
            <w:tcW w:w="3836" w:type="dxa"/>
            <w:gridSpan w:val="3"/>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二、上年结转政府信息公开申请数量</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576"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三、本年度办理结果</w:t>
            </w:r>
          </w:p>
        </w:tc>
        <w:tc>
          <w:tcPr>
            <w:tcW w:w="3249" w:type="dxa"/>
            <w:gridSpan w:val="2"/>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（一）予以公开</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3249" w:type="dxa"/>
            <w:gridSpan w:val="2"/>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（二）部分公开（区分处理的，只计这一情形，不计其他情形）</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703"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（三）不予公开</w:t>
            </w: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1.属于国家秘密</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2.其他法律行政法规禁止公开</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3.危及“三安全一稳定”</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4.保护第三方合法权益</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5.属于三类内部事务信息</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6.属于四类过程性信息</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7.属于行政执法案卷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8.属于行政查询事项</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703"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（四）无法提供</w:t>
            </w: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1.本机关不掌握相关政府信息</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2.没有现成信息需要另行制作</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3.补正后申请内容仍不明确</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703" w:type="dxa"/>
            <w:vMerge w:val="restart"/>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（五）不予处理</w:t>
            </w: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1.信访举报投诉类申请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253"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2.重复申请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207"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3.要求提供公开出版物</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288"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4.无正当理由大量反复申请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438"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5.要求行政机关确认或重新出具已获取信息</w:t>
            </w:r>
          </w:p>
        </w:tc>
        <w:tc>
          <w:tcPr>
            <w:tcW w:w="484"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single" w:color="auto" w:sz="4" w:space="0"/>
              <w:left w:val="single" w:color="auto" w:sz="4" w:space="0"/>
              <w:bottom w:val="outset"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703" w:type="dxa"/>
            <w:vMerge w:val="restart"/>
            <w:tcBorders>
              <w:top w:val="nil"/>
              <w:left w:val="single" w:color="auto" w:sz="4" w:space="0"/>
              <w:bottom w:val="outset"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（六）其他处理</w:t>
            </w:r>
          </w:p>
        </w:tc>
        <w:tc>
          <w:tcPr>
            <w:tcW w:w="254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1.申请人无正当理由逾期不补正、行政机关不再处理其政府信息公开申请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nil"/>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2.申请人逾期未按收费通知要求缴纳费用、行政机关不再处理其政府信息公开申请</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300"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nil"/>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2546"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3.其他</w:t>
            </w:r>
          </w:p>
        </w:tc>
        <w:tc>
          <w:tcPr>
            <w:tcW w:w="484"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288" w:hRule="atLeast"/>
          <w:jc w:val="center"/>
        </w:trPr>
        <w:tc>
          <w:tcPr>
            <w:tcW w:w="0" w:type="auto"/>
            <w:vMerge w:val="continue"/>
            <w:tcBorders>
              <w:top w:val="single" w:color="auto" w:sz="4" w:space="0"/>
              <w:left w:val="single" w:color="auto" w:sz="4" w:space="0"/>
              <w:bottom w:val="outset"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3249" w:type="dxa"/>
            <w:gridSpan w:val="2"/>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（七）总计</w:t>
            </w: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357" w:hRule="atLeast"/>
          <w:jc w:val="center"/>
        </w:trPr>
        <w:tc>
          <w:tcPr>
            <w:tcW w:w="3836" w:type="dxa"/>
            <w:gridSpan w:val="3"/>
            <w:tcBorders>
              <w:top w:val="nil"/>
              <w:left w:val="single" w:color="auto" w:sz="4" w:space="0"/>
              <w:bottom w:val="nil"/>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四、结转下年度继续办理</w:t>
            </w:r>
          </w:p>
        </w:tc>
        <w:tc>
          <w:tcPr>
            <w:tcW w:w="484"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07"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41"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nil"/>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530" w:type="dxa"/>
            <w:tcBorders>
              <w:top w:val="nil"/>
              <w:left w:val="nil"/>
              <w:bottom w:val="nil"/>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r>
        <w:tblPrEx>
          <w:tblCellMar>
            <w:top w:w="15" w:type="dxa"/>
            <w:left w:w="15" w:type="dxa"/>
            <w:bottom w:w="15" w:type="dxa"/>
            <w:right w:w="15" w:type="dxa"/>
          </w:tblCellMar>
        </w:tblPrEx>
        <w:trPr>
          <w:trHeight w:val="357" w:hRule="atLeast"/>
          <w:jc w:val="center"/>
        </w:trPr>
        <w:tc>
          <w:tcPr>
            <w:tcW w:w="3836" w:type="dxa"/>
            <w:gridSpan w:val="3"/>
            <w:tcBorders>
              <w:top w:val="nil"/>
              <w:left w:val="single" w:color="auto" w:sz="4" w:space="0"/>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left"/>
              <w:textAlignment w:val="auto"/>
              <w:rPr>
                <w:rFonts w:hint="default" w:ascii="Times New Roman" w:hAnsi="Times New Roman" w:eastAsia="仿宋" w:cs="Times New Roman"/>
                <w:kern w:val="0"/>
                <w:sz w:val="15"/>
                <w:szCs w:val="15"/>
              </w:rPr>
            </w:pPr>
          </w:p>
        </w:tc>
        <w:tc>
          <w:tcPr>
            <w:tcW w:w="484"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5"/>
                <w:szCs w:val="15"/>
              </w:rPr>
            </w:pP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5"/>
                <w:szCs w:val="15"/>
              </w:rPr>
            </w:pPr>
          </w:p>
        </w:tc>
        <w:tc>
          <w:tcPr>
            <w:tcW w:w="507"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5"/>
                <w:szCs w:val="15"/>
              </w:rPr>
            </w:pPr>
          </w:p>
        </w:tc>
        <w:tc>
          <w:tcPr>
            <w:tcW w:w="541"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5"/>
                <w:szCs w:val="15"/>
              </w:rPr>
            </w:pP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5"/>
                <w:szCs w:val="15"/>
              </w:rPr>
            </w:pPr>
          </w:p>
        </w:tc>
        <w:tc>
          <w:tcPr>
            <w:tcW w:w="530" w:type="dxa"/>
            <w:tcBorders>
              <w:top w:val="nil"/>
              <w:left w:val="nil"/>
              <w:bottom w:val="single" w:color="auto" w:sz="4" w:space="0"/>
              <w:right w:val="single" w:color="auto" w:sz="4" w:space="0"/>
            </w:tcBorders>
            <w:tcMar>
              <w:top w:w="0" w:type="dxa"/>
              <w:left w:w="46" w:type="dxa"/>
              <w:bottom w:w="0" w:type="dxa"/>
              <w:right w:w="46" w:type="dxa"/>
            </w:tcMar>
            <w:vAlign w:val="center"/>
          </w:tcPr>
          <w:p>
            <w:pPr>
              <w:keepNext w:val="0"/>
              <w:keepLines w:val="0"/>
              <w:pageBreakBefore w:val="0"/>
              <w:widowControl/>
              <w:kinsoku/>
              <w:wordWrap/>
              <w:overflowPunct/>
              <w:topLinePunct w:val="0"/>
              <w:autoSpaceDE/>
              <w:autoSpaceDN/>
              <w:bidi w:val="0"/>
              <w:spacing w:before="81" w:line="560" w:lineRule="exact"/>
              <w:jc w:val="center"/>
              <w:textAlignment w:val="auto"/>
              <w:rPr>
                <w:rFonts w:hint="default" w:ascii="Times New Roman" w:hAnsi="Times New Roman" w:eastAsia="仿宋" w:cs="Times New Roman"/>
                <w:kern w:val="0"/>
                <w:sz w:val="15"/>
                <w:szCs w:val="15"/>
              </w:rPr>
            </w:pPr>
          </w:p>
        </w:tc>
        <w:tc>
          <w:tcPr>
            <w:tcW w:w="530" w:type="dxa"/>
            <w:tcBorders>
              <w:top w:val="nil"/>
              <w:left w:val="nil"/>
              <w:bottom w:val="single" w:color="auto" w:sz="4" w:space="0"/>
              <w:right w:val="single" w:color="auto" w:sz="4" w:space="0"/>
            </w:tcBorders>
            <w:tcMar>
              <w:top w:w="0" w:type="dxa"/>
              <w:left w:w="46" w:type="dxa"/>
              <w:bottom w:w="0" w:type="dxa"/>
              <w:right w:w="46" w:type="dxa"/>
            </w:tcMa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5"/>
                <w:szCs w:val="15"/>
              </w:rPr>
            </w:pPr>
          </w:p>
        </w:tc>
      </w:tr>
    </w:tbl>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四、政府信息公开行政复议、行政诉讼情况</w:t>
      </w:r>
    </w:p>
    <w:tbl>
      <w:tblPr>
        <w:tblStyle w:val="5"/>
        <w:tblW w:w="7488" w:type="dxa"/>
        <w:jc w:val="center"/>
        <w:tblLayout w:type="autofit"/>
        <w:tblCellMar>
          <w:top w:w="15" w:type="dxa"/>
          <w:left w:w="15" w:type="dxa"/>
          <w:bottom w:w="15" w:type="dxa"/>
          <w:right w:w="15" w:type="dxa"/>
        </w:tblCellMar>
      </w:tblPr>
      <w:tblGrid>
        <w:gridCol w:w="494"/>
        <w:gridCol w:w="494"/>
        <w:gridCol w:w="494"/>
        <w:gridCol w:w="494"/>
        <w:gridCol w:w="519"/>
        <w:gridCol w:w="494"/>
        <w:gridCol w:w="494"/>
        <w:gridCol w:w="494"/>
        <w:gridCol w:w="494"/>
        <w:gridCol w:w="519"/>
        <w:gridCol w:w="494"/>
        <w:gridCol w:w="494"/>
        <w:gridCol w:w="495"/>
        <w:gridCol w:w="495"/>
        <w:gridCol w:w="520"/>
      </w:tblGrid>
      <w:tr>
        <w:tblPrEx>
          <w:tblCellMar>
            <w:top w:w="15" w:type="dxa"/>
            <w:left w:w="15" w:type="dxa"/>
            <w:bottom w:w="15" w:type="dxa"/>
            <w:right w:w="15" w:type="dxa"/>
          </w:tblCellMar>
        </w:tblPrEx>
        <w:trPr>
          <w:jc w:val="center"/>
        </w:trPr>
        <w:tc>
          <w:tcPr>
            <w:tcW w:w="2500" w:type="dxa"/>
            <w:gridSpan w:val="5"/>
            <w:tcBorders>
              <w:top w:val="single" w:color="auto" w:sz="4" w:space="0"/>
              <w:left w:val="single" w:color="auto" w:sz="4" w:space="0"/>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行政复议</w:t>
            </w:r>
          </w:p>
        </w:tc>
        <w:tc>
          <w:tcPr>
            <w:tcW w:w="4988" w:type="dxa"/>
            <w:gridSpan w:val="10"/>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行政诉讼</w:t>
            </w:r>
          </w:p>
        </w:tc>
      </w:tr>
      <w:tr>
        <w:tblPrEx>
          <w:tblCellMar>
            <w:top w:w="15" w:type="dxa"/>
            <w:left w:w="15" w:type="dxa"/>
            <w:bottom w:w="15" w:type="dxa"/>
            <w:right w:w="15" w:type="dxa"/>
          </w:tblCellMar>
        </w:tblPrEx>
        <w:trPr>
          <w:jc w:val="center"/>
        </w:trPr>
        <w:tc>
          <w:tcPr>
            <w:tcW w:w="495" w:type="dxa"/>
            <w:vMerge w:val="restart"/>
            <w:tcBorders>
              <w:top w:val="nil"/>
              <w:left w:val="single" w:color="auto" w:sz="4" w:space="0"/>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结果维持</w:t>
            </w:r>
          </w:p>
        </w:tc>
        <w:tc>
          <w:tcPr>
            <w:tcW w:w="495" w:type="dxa"/>
            <w:vMerge w:val="restart"/>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纠正</w:t>
            </w:r>
          </w:p>
        </w:tc>
        <w:tc>
          <w:tcPr>
            <w:tcW w:w="495" w:type="dxa"/>
            <w:vMerge w:val="restart"/>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其他</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结果</w:t>
            </w:r>
          </w:p>
        </w:tc>
        <w:tc>
          <w:tcPr>
            <w:tcW w:w="495" w:type="dxa"/>
            <w:vMerge w:val="restart"/>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尚未</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审结</w:t>
            </w:r>
          </w:p>
        </w:tc>
        <w:tc>
          <w:tcPr>
            <w:tcW w:w="495" w:type="dxa"/>
            <w:vMerge w:val="restart"/>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总计</w:t>
            </w:r>
          </w:p>
        </w:tc>
        <w:tc>
          <w:tcPr>
            <w:tcW w:w="2500" w:type="dxa"/>
            <w:gridSpan w:val="5"/>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未经复议直接起诉</w:t>
            </w:r>
          </w:p>
        </w:tc>
        <w:tc>
          <w:tcPr>
            <w:tcW w:w="2500" w:type="dxa"/>
            <w:gridSpan w:val="5"/>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 w:cs="Times New Roman"/>
                <w:kern w:val="0"/>
                <w:sz w:val="16"/>
                <w:szCs w:val="16"/>
              </w:rPr>
            </w:pP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维持</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纠正</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其他</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结果</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尚未</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审结</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总计</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维持</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结果</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纠正</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其他</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结果</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仿宋" w:cs="Times New Roman"/>
                <w:kern w:val="0"/>
                <w:sz w:val="15"/>
                <w:szCs w:val="15"/>
                <w:lang w:eastAsia="zh-CN"/>
              </w:rPr>
            </w:pPr>
            <w:r>
              <w:rPr>
                <w:rFonts w:hint="default" w:ascii="Times New Roman" w:hAnsi="Times New Roman" w:eastAsia="仿宋" w:cs="Times New Roman"/>
                <w:kern w:val="0"/>
                <w:sz w:val="15"/>
                <w:szCs w:val="15"/>
              </w:rPr>
              <w:t>尚未</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审结</w:t>
            </w:r>
          </w:p>
        </w:tc>
        <w:tc>
          <w:tcPr>
            <w:tcW w:w="495" w:type="dxa"/>
            <w:tcBorders>
              <w:top w:val="single" w:color="auto" w:sz="4" w:space="0"/>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总计</w:t>
            </w:r>
          </w:p>
        </w:tc>
      </w:tr>
      <w:tr>
        <w:tblPrEx>
          <w:tblCellMar>
            <w:top w:w="15" w:type="dxa"/>
            <w:left w:w="15" w:type="dxa"/>
            <w:bottom w:w="15" w:type="dxa"/>
            <w:right w:w="15" w:type="dxa"/>
          </w:tblCellMar>
        </w:tblPrEx>
        <w:trPr>
          <w:trHeight w:val="518" w:hRule="atLeast"/>
          <w:jc w:val="center"/>
        </w:trPr>
        <w:tc>
          <w:tcPr>
            <w:tcW w:w="495" w:type="dxa"/>
            <w:tcBorders>
              <w:top w:val="nil"/>
              <w:left w:val="single" w:color="auto" w:sz="4" w:space="0"/>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c>
          <w:tcPr>
            <w:tcW w:w="495" w:type="dxa"/>
            <w:tcBorders>
              <w:top w:val="nil"/>
              <w:left w:val="nil"/>
              <w:bottom w:val="single" w:color="auto" w:sz="4" w:space="0"/>
              <w:right w:val="single" w:color="auto" w:sz="4" w:space="0"/>
            </w:tcBorders>
            <w:tcMar>
              <w:top w:w="0" w:type="dxa"/>
              <w:left w:w="81" w:type="dxa"/>
              <w:bottom w:w="0" w:type="dxa"/>
              <w:right w:w="81" w:type="dxa"/>
            </w:tcMar>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16"/>
                <w:szCs w:val="16"/>
              </w:rPr>
            </w:pPr>
            <w:r>
              <w:rPr>
                <w:rFonts w:hint="default" w:ascii="Times New Roman" w:hAnsi="Times New Roman" w:eastAsia="仿宋" w:cs="Times New Roman"/>
                <w:kern w:val="0"/>
                <w:sz w:val="15"/>
                <w:szCs w:val="15"/>
              </w:rPr>
              <w:t>0</w:t>
            </w:r>
          </w:p>
        </w:tc>
      </w:tr>
    </w:tbl>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五、存在问题及</w:t>
      </w:r>
      <w:r>
        <w:rPr>
          <w:rFonts w:hint="eastAsia" w:ascii="Times New Roman" w:hAnsi="Times New Roman" w:eastAsia="黑体" w:cs="Times New Roman"/>
          <w:color w:val="000000"/>
          <w:kern w:val="0"/>
          <w:sz w:val="32"/>
          <w:szCs w:val="32"/>
          <w:lang w:eastAsia="zh-CN"/>
        </w:rPr>
        <w:t>下步措施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2022年，政府信息公开工作在上级部门的领导下取得了一些成效，但也清醒地认识到，在信息公开工作中仍然存在一些问题：</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一是</w:t>
      </w:r>
      <w:r>
        <w:rPr>
          <w:rFonts w:hint="default" w:ascii="Times New Roman" w:hAnsi="Times New Roman" w:eastAsia="仿宋_GB2312" w:cs="Times New Roman"/>
          <w:color w:val="000000"/>
          <w:kern w:val="0"/>
          <w:sz w:val="32"/>
          <w:szCs w:val="32"/>
        </w:rPr>
        <w:t>政府信息公开主动性不够强、及时性不够；</w:t>
      </w:r>
      <w:r>
        <w:rPr>
          <w:rFonts w:hint="default" w:ascii="Times New Roman" w:hAnsi="Times New Roman" w:eastAsia="仿宋_GB2312" w:cs="Times New Roman"/>
          <w:b/>
          <w:bCs/>
          <w:color w:val="000000"/>
          <w:kern w:val="0"/>
          <w:sz w:val="32"/>
          <w:szCs w:val="32"/>
        </w:rPr>
        <w:t>二是</w:t>
      </w:r>
      <w:r>
        <w:rPr>
          <w:rFonts w:hint="default" w:ascii="Times New Roman" w:hAnsi="Times New Roman" w:eastAsia="仿宋_GB2312" w:cs="Times New Roman"/>
          <w:color w:val="000000"/>
          <w:kern w:val="0"/>
          <w:sz w:val="32"/>
          <w:szCs w:val="32"/>
        </w:rPr>
        <w:t>信息公开有的栏目公开事项较少，如：工作动态较多，其他公开重视程度不够</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导致公开内容较少。</w:t>
      </w:r>
      <w:r>
        <w:rPr>
          <w:rFonts w:hint="default" w:ascii="Times New Roman" w:hAnsi="Times New Roman" w:eastAsia="仿宋_GB2312" w:cs="Times New Roman"/>
          <w:b/>
          <w:bCs/>
          <w:color w:val="000000"/>
          <w:kern w:val="0"/>
          <w:sz w:val="32"/>
          <w:szCs w:val="32"/>
        </w:rPr>
        <w:t>三是</w:t>
      </w:r>
      <w:r>
        <w:rPr>
          <w:rFonts w:hint="default" w:ascii="Times New Roman" w:hAnsi="Times New Roman" w:eastAsia="仿宋_GB2312" w:cs="Times New Roman"/>
          <w:color w:val="000000"/>
          <w:kern w:val="0"/>
          <w:sz w:val="32"/>
          <w:szCs w:val="32"/>
        </w:rPr>
        <w:t>公开的内容和形式还欠丰富。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下一步，我局将按照《条例》和政府信息公开的相关要求，继续大力推进政府信息公开工作，主要是做好以下几方面工作：</w:t>
      </w:r>
      <w:r>
        <w:rPr>
          <w:rFonts w:hint="default" w:ascii="Times New Roman" w:hAnsi="Times New Roman" w:eastAsia="仿宋_GB2312" w:cs="Times New Roman"/>
          <w:b/>
          <w:bCs/>
          <w:color w:val="000000"/>
          <w:kern w:val="0"/>
          <w:sz w:val="32"/>
          <w:szCs w:val="32"/>
        </w:rPr>
        <w:t>一是</w:t>
      </w:r>
      <w:r>
        <w:rPr>
          <w:rFonts w:hint="default" w:ascii="Times New Roman" w:hAnsi="Times New Roman" w:eastAsia="仿宋_GB2312" w:cs="Times New Roman"/>
          <w:color w:val="000000"/>
          <w:kern w:val="0"/>
          <w:sz w:val="32"/>
          <w:szCs w:val="32"/>
        </w:rPr>
        <w:t>不断强化对信息员的理论培训和业务培训。</w:t>
      </w:r>
      <w:r>
        <w:rPr>
          <w:rFonts w:hint="default" w:ascii="Times New Roman" w:hAnsi="Times New Roman" w:eastAsia="仿宋_GB2312" w:cs="Times New Roman"/>
          <w:b/>
          <w:bCs/>
          <w:color w:val="000000"/>
          <w:kern w:val="0"/>
          <w:sz w:val="32"/>
          <w:szCs w:val="32"/>
        </w:rPr>
        <w:t>二是</w:t>
      </w:r>
      <w:r>
        <w:rPr>
          <w:rFonts w:hint="default" w:ascii="Times New Roman" w:hAnsi="Times New Roman" w:eastAsia="仿宋_GB2312" w:cs="Times New Roman"/>
          <w:color w:val="000000"/>
          <w:kern w:val="0"/>
          <w:sz w:val="32"/>
          <w:szCs w:val="32"/>
        </w:rPr>
        <w:t>紧紧围绕实施政府信息公开工作，多渠道、多形式，向社会和广大群众深入宣传政府信息公开工作，努力形成积极关心政府信息公开的社会氛围。</w:t>
      </w:r>
      <w:r>
        <w:rPr>
          <w:rFonts w:hint="default" w:ascii="Times New Roman" w:hAnsi="Times New Roman" w:eastAsia="仿宋_GB2312" w:cs="Times New Roman"/>
          <w:b/>
          <w:bCs/>
          <w:color w:val="000000"/>
          <w:kern w:val="0"/>
          <w:sz w:val="32"/>
          <w:szCs w:val="32"/>
        </w:rPr>
        <w:t>三是</w:t>
      </w:r>
      <w:r>
        <w:rPr>
          <w:rFonts w:hint="default" w:ascii="Times New Roman" w:hAnsi="Times New Roman" w:eastAsia="仿宋_GB2312" w:cs="Times New Roman"/>
          <w:color w:val="000000"/>
          <w:kern w:val="0"/>
          <w:sz w:val="32"/>
          <w:szCs w:val="32"/>
        </w:rPr>
        <w:t>进一步完善政府信息公开各项规章制度，形成以制度管人、以制度谋事的长效机制，进一步规范政府信息公开工作。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六、其他需要报告的事项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1.收取信息处理费情况方面。本年度政府信息公开申请未达到《政府信息公开信息处理费管理办法》（国办函〔2020〕109号）所规定的信息处理费收费标准，故未收取信息处理费。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2.落实上级年度政务公开工作要点情况。对照《枣庄市</w:t>
      </w:r>
      <w:r>
        <w:rPr>
          <w:rFonts w:hint="eastAsia" w:ascii="Times New Roman" w:hAnsi="Times New Roman" w:eastAsia="仿宋_GB2312" w:cs="Times New Roman"/>
          <w:color w:val="000000"/>
          <w:sz w:val="32"/>
          <w:szCs w:val="32"/>
          <w:lang w:eastAsia="zh-CN"/>
        </w:rPr>
        <w:t>统计局</w:t>
      </w:r>
      <w:r>
        <w:rPr>
          <w:rFonts w:hint="default" w:ascii="Times New Roman" w:hAnsi="Times New Roman" w:eastAsia="仿宋_GB2312" w:cs="Times New Roman"/>
          <w:color w:val="000000"/>
          <w:sz w:val="32"/>
          <w:szCs w:val="32"/>
        </w:rPr>
        <w:t>2022年政务公开政务公开工作要点》，印发《</w:t>
      </w:r>
      <w:r>
        <w:rPr>
          <w:rFonts w:hint="eastAsia" w:ascii="Times New Roman" w:hAnsi="Times New Roman" w:eastAsia="仿宋_GB2312" w:cs="Times New Roman"/>
          <w:color w:val="000000"/>
          <w:sz w:val="32"/>
          <w:szCs w:val="32"/>
          <w:lang w:eastAsia="zh-CN"/>
        </w:rPr>
        <w:t>薛城区统计局</w:t>
      </w:r>
      <w:r>
        <w:rPr>
          <w:rFonts w:hint="default" w:ascii="Times New Roman" w:hAnsi="Times New Roman" w:eastAsia="仿宋_GB2312" w:cs="Times New Roman"/>
          <w:color w:val="000000"/>
          <w:sz w:val="32"/>
          <w:szCs w:val="32"/>
        </w:rPr>
        <w:t>2022年政务公开工作要点》和《落实</w:t>
      </w:r>
      <w:r>
        <w:rPr>
          <w:rFonts w:hint="eastAsia" w:ascii="Times New Roman" w:hAnsi="Times New Roman" w:eastAsia="仿宋_GB2312" w:cs="Times New Roman"/>
          <w:color w:val="000000"/>
          <w:sz w:val="32"/>
          <w:szCs w:val="32"/>
          <w:lang w:eastAsia="zh-CN"/>
        </w:rPr>
        <w:t>薛城区</w:t>
      </w:r>
      <w:r>
        <w:rPr>
          <w:rFonts w:hint="default" w:ascii="Times New Roman" w:hAnsi="Times New Roman" w:eastAsia="仿宋_GB2312" w:cs="Times New Roman"/>
          <w:color w:val="000000"/>
          <w:sz w:val="32"/>
          <w:szCs w:val="32"/>
        </w:rPr>
        <w:t>2022年政务公开工作要点工作台账》，围绕重点领域信息公开、政策发布解读与回应、政民互动、基层政务公开标准化规范化建设和工作保障和落实逐项明确责任主体和完成时限。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3.人大代表建议和政协提案办理情况方面</w:t>
      </w:r>
      <w:r>
        <w:rPr>
          <w:rFonts w:hint="eastAsia" w:ascii="Times New Roman" w:hAnsi="Times New Roman" w:eastAsia="仿宋_GB2312" w:cs="Times New Roman"/>
          <w:color w:val="000000"/>
          <w:sz w:val="32"/>
          <w:szCs w:val="32"/>
          <w:lang w:eastAsia="zh-CN"/>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4.开展政务公开创新方面</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进一步丰富信息公开内容。加强对统计法制的宣传，加强我区统计数据的分析，增加社会公众关心的统计资料，特别是反映县域经济运行状态等相关数据的分析和解读。三是及时更新工作动态，加强部门内部工作协调，及时、准确发布工作动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5.本单位政府信息公开工作年度报告数据统计需要说明的事项：无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6.其他有关文件专门要求通过政府信息公开工作年度报告予以报告的事项：无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7.本年度报告的电子版可以在“薛城区政府门户网站”（http://xxgk.xuecheng.gov.cn/xxgknb/2022xxgknb/)下载。如对本报告有疑问，可与薛城区</w:t>
      </w:r>
      <w:r>
        <w:rPr>
          <w:rFonts w:hint="eastAsia" w:ascii="Times New Roman" w:hAnsi="Times New Roman" w:eastAsia="仿宋_GB2312" w:cs="Times New Roman"/>
          <w:color w:val="000000"/>
          <w:sz w:val="32"/>
          <w:szCs w:val="32"/>
          <w:lang w:eastAsia="zh-CN"/>
        </w:rPr>
        <w:t>统计局</w:t>
      </w:r>
      <w:r>
        <w:rPr>
          <w:rFonts w:hint="default" w:ascii="Times New Roman" w:hAnsi="Times New Roman" w:eastAsia="仿宋_GB2312" w:cs="Times New Roman"/>
          <w:color w:val="000000"/>
          <w:sz w:val="32"/>
          <w:szCs w:val="32"/>
        </w:rPr>
        <w:t>办公室联系(地址:枣庄市薛城区晟鸿大厦</w:t>
      </w:r>
      <w:r>
        <w:rPr>
          <w:rFonts w:hint="eastAsia" w:ascii="Times New Roman" w:hAnsi="Times New Roman" w:eastAsia="仿宋_GB2312" w:cs="Times New Roman"/>
          <w:color w:val="000000"/>
          <w:sz w:val="32"/>
          <w:szCs w:val="32"/>
          <w:lang w:val="en-US" w:eastAsia="zh-CN"/>
        </w:rPr>
        <w:t>3035</w:t>
      </w:r>
      <w:r>
        <w:rPr>
          <w:rFonts w:hint="default" w:ascii="Times New Roman" w:hAnsi="Times New Roman" w:eastAsia="仿宋_GB2312" w:cs="Times New Roman"/>
          <w:color w:val="000000"/>
          <w:sz w:val="32"/>
          <w:szCs w:val="32"/>
        </w:rPr>
        <w:t>室，邮编：2770</w:t>
      </w:r>
      <w:r>
        <w:rPr>
          <w:rFonts w:hint="eastAsia" w:ascii="Times New Roman" w:hAnsi="Times New Roman" w:eastAsia="仿宋_GB2312" w:cs="Times New Roman"/>
          <w:color w:val="000000"/>
          <w:sz w:val="32"/>
          <w:szCs w:val="32"/>
          <w:lang w:val="en-US" w:eastAsia="zh-CN"/>
        </w:rPr>
        <w:t>99</w:t>
      </w:r>
      <w:r>
        <w:rPr>
          <w:rFonts w:hint="default" w:ascii="Times New Roman" w:hAnsi="Times New Roman" w:eastAsia="仿宋_GB2312" w:cs="Times New Roman"/>
          <w:color w:val="000000"/>
          <w:sz w:val="32"/>
          <w:szCs w:val="32"/>
        </w:rPr>
        <w:t>，电话：0632—4</w:t>
      </w:r>
      <w:r>
        <w:rPr>
          <w:rFonts w:hint="eastAsia" w:ascii="Times New Roman" w:hAnsi="Times New Roman" w:eastAsia="仿宋_GB2312" w:cs="Times New Roman"/>
          <w:color w:val="000000"/>
          <w:sz w:val="32"/>
          <w:szCs w:val="32"/>
          <w:lang w:val="en-US" w:eastAsia="zh-CN"/>
        </w:rPr>
        <w:t>412438</w:t>
      </w:r>
      <w:r>
        <w:rPr>
          <w:rFonts w:hint="default" w:ascii="Times New Roman" w:hAnsi="Times New Roman" w:eastAsia="仿宋_GB2312" w:cs="Times New Roman"/>
          <w:color w:val="000000"/>
          <w:sz w:val="32"/>
          <w:szCs w:val="32"/>
        </w:rPr>
        <w:t>，电子邮箱：</w:t>
      </w:r>
      <w:r>
        <w:rPr>
          <w:rFonts w:hint="eastAsia" w:ascii="Times New Roman" w:hAnsi="Times New Roman" w:eastAsia="仿宋_GB2312" w:cs="Times New Roman"/>
          <w:color w:val="000000"/>
          <w:sz w:val="32"/>
          <w:szCs w:val="32"/>
          <w:lang w:val="en-US" w:eastAsia="zh-CN"/>
        </w:rPr>
        <w:t>xcqtjjbgs</w:t>
      </w:r>
      <w:r>
        <w:rPr>
          <w:rFonts w:hint="default" w:ascii="Times New Roman" w:hAnsi="Times New Roman" w:eastAsia="仿宋_GB2312" w:cs="Times New Roman"/>
          <w:color w:val="000000"/>
          <w:sz w:val="32"/>
          <w:szCs w:val="32"/>
        </w:rPr>
        <w:t>@zz.shandong.cn)。</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5ZTVhZmIxMTcxMmY3ZTc2M2E1YWFkOTllMTczM2EifQ=="/>
  </w:docVars>
  <w:rsids>
    <w:rsidRoot w:val="008C3C1A"/>
    <w:rsid w:val="001136AF"/>
    <w:rsid w:val="004D654C"/>
    <w:rsid w:val="007B7314"/>
    <w:rsid w:val="008C3C1A"/>
    <w:rsid w:val="00AE1A2E"/>
    <w:rsid w:val="00E74884"/>
    <w:rsid w:val="15D11126"/>
    <w:rsid w:val="18411EEF"/>
    <w:rsid w:val="2340242B"/>
    <w:rsid w:val="520546A4"/>
    <w:rsid w:val="64B81251"/>
    <w:rsid w:val="7CA73C2D"/>
    <w:rsid w:val="7EC8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2512</Words>
  <Characters>2676</Characters>
  <Lines>16</Lines>
  <Paragraphs>4</Paragraphs>
  <TotalTime>0</TotalTime>
  <ScaleCrop>false</ScaleCrop>
  <LinksUpToDate>false</LinksUpToDate>
  <CharactersWithSpaces>2680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2023-01-11T06:08:00Z</dcterms:created>
  <dc:creator>admin</dc:creator>
  <cp:lastModifiedBy>Administrator</cp:lastModifiedBy>
  <dcterms:modified xsi:type="dcterms:W3CDTF">2023-02-08T08:14:22Z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0B82925A63D3494FB49FE155DBC3A598</vt:lpwstr>
  </property>
</Properties>
</file>