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color w:val="auto"/>
          <w:sz w:val="44"/>
          <w:szCs w:val="44"/>
          <w:lang w:val="en-US" w:eastAsia="zh-CN"/>
        </w:rPr>
      </w:pPr>
      <w:r>
        <w:rPr>
          <w:rFonts w:hint="eastAsia" w:ascii="华文中宋" w:hAnsi="华文中宋" w:eastAsia="华文中宋" w:cs="华文中宋"/>
          <w:color w:val="auto"/>
          <w:sz w:val="44"/>
          <w:szCs w:val="44"/>
          <w:lang w:val="en-US" w:eastAsia="zh-CN"/>
        </w:rPr>
        <w:t>薛城区退役军人事务局2022年度政府信息公开工作年度报告</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华文中宋" w:hAnsi="华文中宋" w:eastAsia="华文中宋" w:cs="华文中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中华人民共和国政府信息公开条例》（国务院令第711号，以下简称《条例》）和《国务院办公厅政府信息与政务公开办公室关于印发&lt;中华人民共和国政府信息公开工作年度报告格式&gt;的通知》（国办公开办函【2021】30号）和省、市政府有关要求，现就推进政府信息公开工作情况，向社会公布薛城区退役军人事务局2022年度政府信息公开年度报告。本报告包括</w:t>
      </w:r>
      <w:r>
        <w:rPr>
          <w:rFonts w:hint="eastAsia" w:ascii="仿宋_GB2312" w:eastAsia="仿宋_GB2312"/>
          <w:color w:val="auto"/>
          <w:sz w:val="32"/>
          <w:szCs w:val="32"/>
        </w:rPr>
        <w:t>括总体情况；行政机关主动公开政府信息的情况；行政机关收到和处理政府信息公开申请的情况；因政府信息公开工作被申请行政复议、提起行政诉讼的情况；政府信息公开工作存在的主要问题及改进情况，各级人民政府的政府信息公开工作年度报告还应当包括工作考核、社会评议和责任追究结果情况；其他需要报告的事项</w:t>
      </w:r>
      <w:r>
        <w:rPr>
          <w:rFonts w:hint="eastAsia" w:ascii="仿宋_GB2312" w:hAnsi="仿宋_GB2312" w:eastAsia="仿宋_GB2312" w:cs="仿宋_GB2312"/>
          <w:color w:val="auto"/>
          <w:sz w:val="32"/>
          <w:szCs w:val="32"/>
          <w:lang w:val="en-US" w:eastAsia="zh-CN"/>
        </w:rPr>
        <w:t>等六个部分。本年度报告中所列数据的统计期限自2022年1月1日起至2022年12月31日止。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年度报告的电子版可以在“薛城区政府门户网站”（http://xxgk.xuecheng.gov.cn/qjbm/qtyjrswj/)下载。如对报告有任何疑问，请与区退役军人事务局联系（地址：薛城区泰山南路与钱江路交汇处北200米路西，电话：0632-4483156；邮政编码：277000；电子邮箱：xcqtyjrswj@zz.shandong.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一、整体情况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2022年，薛城区退役军人事务局政务公开工作以习近平新时代中国特色社会主义思想为指导，全面贯彻党的二十大</w:t>
      </w:r>
      <w:bookmarkStart w:id="10" w:name="_GoBack"/>
      <w:bookmarkEnd w:id="10"/>
      <w:r>
        <w:rPr>
          <w:rFonts w:hint="eastAsia" w:ascii="仿宋_GB2312" w:hAnsi="仿宋_GB2312" w:eastAsia="仿宋_GB2312" w:cs="仿宋_GB2312"/>
          <w:color w:val="auto"/>
          <w:sz w:val="32"/>
          <w:szCs w:val="32"/>
          <w:lang w:val="en-US" w:eastAsia="zh-CN"/>
        </w:rPr>
        <w:t xml:space="preserve">精神，严格落实上级关于全面推进政务公开的系列部署，政务公开质量和实效全面提升。认真贯彻落实《中华人民共和国政府信息公开条例》，严格按照《关于做好2022年度政府信息公开工作年度报告编制和发布工作的通知》要求，积极推进政府信息公开工作，确保信息内容准确规范地传达给社会、公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1.主动公开情况。</w:t>
      </w:r>
      <w:r>
        <w:rPr>
          <w:rFonts w:hint="eastAsia" w:ascii="仿宋_GB2312" w:hAnsi="仿宋_GB2312" w:eastAsia="仿宋_GB2312" w:cs="仿宋_GB2312"/>
          <w:color w:val="auto"/>
          <w:sz w:val="32"/>
          <w:szCs w:val="32"/>
          <w:lang w:val="en-US" w:eastAsia="zh-CN"/>
        </w:rPr>
        <w:t>我局2022年主动公开政府信息总计</w:t>
      </w:r>
      <w:r>
        <w:rPr>
          <w:rFonts w:hint="eastAsia" w:ascii="Times New Roman" w:hAnsi="Times New Roman" w:eastAsia="仿宋_GB2312"/>
          <w:color w:val="auto"/>
          <w:sz w:val="32"/>
          <w:szCs w:val="32"/>
          <w:lang w:val="en-US" w:eastAsia="zh-CN"/>
        </w:rPr>
        <w:t>41</w:t>
      </w:r>
      <w:r>
        <w:rPr>
          <w:rFonts w:hint="eastAsia" w:ascii="仿宋_GB2312" w:hAnsi="仿宋_GB2312" w:eastAsia="仿宋_GB2312" w:cs="仿宋_GB2312"/>
          <w:color w:val="auto"/>
          <w:sz w:val="32"/>
          <w:szCs w:val="32"/>
          <w:lang w:val="en-US" w:eastAsia="zh-CN"/>
        </w:rPr>
        <w:t>条，主要包括工作动态、机构职能、部门文件及政策解读、行政执法公示等，其中：部门业务工作信息2条，法治政府建设信息4条，政策解读政府开放日1条，机构职能信息3条，重要部署执行信息2条，行政权力1条，建议提案4条，执法结果信息4条，重点领域信息8条，其他信息12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2.依申请公开情况。</w:t>
      </w:r>
      <w:r>
        <w:rPr>
          <w:rFonts w:hint="eastAsia" w:ascii="仿宋_GB2312" w:hAnsi="仿宋_GB2312" w:eastAsia="仿宋_GB2312" w:cs="仿宋_GB2312"/>
          <w:color w:val="auto"/>
          <w:sz w:val="32"/>
          <w:szCs w:val="32"/>
          <w:lang w:val="en-US" w:eastAsia="zh-CN"/>
        </w:rPr>
        <w:t>2022年度共收到政府信息公开申请0件，按时办结0件。因政府信息公开被行政复议1件、提起行政诉讼1件，办结率100%。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3.政府信息管理情况。</w:t>
      </w:r>
      <w:r>
        <w:rPr>
          <w:rFonts w:hint="eastAsia" w:ascii="仿宋_GB2312" w:hAnsi="仿宋_GB2312" w:eastAsia="仿宋_GB2312" w:cs="仿宋_GB2312"/>
          <w:color w:val="auto"/>
          <w:sz w:val="32"/>
          <w:szCs w:val="32"/>
          <w:lang w:val="en-US" w:eastAsia="zh-CN"/>
        </w:rPr>
        <w:t>优化各股室、局属各单位分工协作的信息管理体系，严格遵守政府信息公开发布保密审查制度，各股室、各单位负责同志对主动公开内容和依申请公开答复事项进行信息初审，由相关领导审查后发布。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4.政府信息公开平台建设情况。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我局政务公开信息主要通过区政府门户网站发布。2022年度，我局严格按照区政府集约化智能门户平台板块及栏目设置公开各项政务信息，确保应有公开栏目不漏项，信息报送保质保量。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5.监督保障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不断强化机制。优化了局政务公开工作领导小组，并根据人员变动和工作需要及时对政务公开工作领导小组成员名单进行调整。政务公开工作领导小组成员由局主要领导为组长，分管领导为副组长，各科室负责人为成员。各科室依据科室职能，积极主动收集、提报、审核业务范围内应公开的政务信息，公开内容信息汇总至局办公室，由办公室负责本单位政务公开网站信息的同志统一上传、更新与维护。</w:t>
      </w:r>
    </w:p>
    <w:p>
      <w:pPr>
        <w:keepNext w:val="0"/>
        <w:keepLines w:val="0"/>
        <w:pageBreakBefore w:val="0"/>
        <w:widowControl w:val="0"/>
        <w:kinsoku/>
        <w:wordWrap/>
        <w:overflowPunct/>
        <w:topLinePunct w:val="0"/>
        <w:autoSpaceDE/>
        <w:autoSpaceDN/>
        <w:bidi w:val="0"/>
        <w:adjustRightInd/>
        <w:snapToGrid/>
        <w:spacing w:line="600" w:lineRule="exact"/>
        <w:ind w:firstLine="320" w:firstLineChars="200"/>
        <w:jc w:val="both"/>
        <w:textAlignment w:val="auto"/>
        <w:rPr>
          <w:rFonts w:ascii="方正小标宋简体" w:eastAsia="方正小标宋简体"/>
          <w:color w:val="auto"/>
          <w:sz w:val="44"/>
          <w:szCs w:val="44"/>
        </w:rPr>
      </w:pPr>
      <w:r>
        <w:rPr>
          <w:rFonts w:ascii="微软雅黑" w:hAnsi="微软雅黑" w:eastAsia="微软雅黑" w:cs="微软雅黑"/>
          <w:i w:val="0"/>
          <w:iCs w:val="0"/>
          <w:caps w:val="0"/>
          <w:color w:val="auto"/>
          <w:spacing w:val="0"/>
          <w:sz w:val="16"/>
          <w:szCs w:val="16"/>
          <w:shd w:val="clear" w:fill="FFFFFF"/>
        </w:rPr>
        <w:t>  </w:t>
      </w:r>
      <w:r>
        <w:rPr>
          <w:rFonts w:ascii="黑体" w:hAnsi="宋体" w:eastAsia="黑体" w:cs="黑体"/>
          <w:i w:val="0"/>
          <w:iCs w:val="0"/>
          <w:caps w:val="0"/>
          <w:color w:val="auto"/>
          <w:spacing w:val="0"/>
          <w:sz w:val="30"/>
          <w:szCs w:val="30"/>
          <w:shd w:val="clear" w:fill="FFFFFF"/>
        </w:rPr>
        <w:t>二、主动公开政府信息情况</w:t>
      </w:r>
      <w:r>
        <w:rPr>
          <w:rFonts w:hint="eastAsia" w:ascii="黑体" w:hAnsi="宋体" w:eastAsia="黑体" w:cs="黑体"/>
          <w:i w:val="0"/>
          <w:iCs w:val="0"/>
          <w:caps w:val="0"/>
          <w:color w:val="auto"/>
          <w:spacing w:val="0"/>
          <w:sz w:val="30"/>
          <w:szCs w:val="30"/>
          <w:shd w:val="clear" w:fill="FFFFFF"/>
        </w:rPr>
        <w:t>统计表</w:t>
      </w:r>
    </w:p>
    <w:tbl>
      <w:tblPr>
        <w:tblStyle w:val="3"/>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rPr>
              <w:t>　</w:t>
            </w:r>
            <w:r>
              <w:rPr>
                <w:rFonts w:hint="eastAsia" w:ascii="仿宋_GB2312" w:hAnsi="宋体" w:eastAsia="仿宋_GB2312" w:cs="宋体"/>
                <w:color w:val="auto"/>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s="宋体"/>
                <w:color w:val="auto"/>
                <w:kern w:val="0"/>
                <w:szCs w:val="21"/>
              </w:rPr>
            </w:pPr>
            <w:r>
              <w:rPr>
                <w:rFonts w:hint="eastAsia" w:ascii="黑体" w:hAnsi="黑体" w:eastAsia="黑体" w:cs="宋体"/>
                <w:color w:val="auto"/>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仿宋_GB2312" w:hAnsi="宋体" w:eastAsia="仿宋_GB2312" w:cs="宋体"/>
                <w:color w:val="auto"/>
                <w:kern w:val="0"/>
                <w:szCs w:val="21"/>
              </w:rPr>
            </w:pPr>
            <w:r>
              <w:rPr>
                <w:rFonts w:hint="eastAsia" w:ascii="仿宋_GB2312" w:hAnsi="宋体" w:eastAsia="仿宋_GB2312" w:cs="宋体"/>
                <w:color w:val="auto"/>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eastAsia"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rPr>
              <w:t>　</w:t>
            </w:r>
            <w:r>
              <w:rPr>
                <w:rFonts w:hint="eastAsia" w:ascii="仿宋_GB2312" w:hAnsi="Calibri" w:eastAsia="仿宋_GB2312" w:cs="Calibri"/>
                <w:color w:val="auto"/>
                <w:kern w:val="0"/>
                <w:szCs w:val="21"/>
                <w:lang w:val="en-US" w:eastAsia="zh-CN"/>
              </w:rPr>
              <w:t>0</w:t>
            </w:r>
          </w:p>
        </w:tc>
      </w:tr>
    </w:tbl>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收到和处理政府信息公开申请情况</w:t>
      </w:r>
    </w:p>
    <w:tbl>
      <w:tblPr>
        <w:tblStyle w:val="3"/>
        <w:tblW w:w="88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69"/>
        <w:gridCol w:w="1513"/>
        <w:gridCol w:w="2649"/>
        <w:gridCol w:w="737"/>
        <w:gridCol w:w="504"/>
        <w:gridCol w:w="504"/>
        <w:gridCol w:w="649"/>
        <w:gridCol w:w="629"/>
        <w:gridCol w:w="507"/>
        <w:gridCol w:w="7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4531"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_GB2312" w:hAnsi="黑体" w:eastAsia="楷体_GB2312"/>
                <w:color w:val="auto"/>
                <w:kern w:val="0"/>
                <w:sz w:val="22"/>
                <w:szCs w:val="22"/>
              </w:rPr>
            </w:pPr>
            <w:r>
              <w:rPr>
                <w:rFonts w:hint="eastAsia" w:ascii="楷体_GB2312" w:hAnsi="黑体" w:eastAsia="楷体_GB2312"/>
                <w:color w:val="auto"/>
                <w:kern w:val="0"/>
                <w:sz w:val="22"/>
                <w:szCs w:val="22"/>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r>
              <w:rPr>
                <w:rFonts w:hint="eastAsia" w:ascii="楷体_GB2312" w:hAnsi="黑体" w:eastAsia="楷体_GB2312"/>
                <w:color w:val="auto"/>
                <w:kern w:val="0"/>
                <w:sz w:val="22"/>
                <w:szCs w:val="22"/>
              </w:rPr>
              <w:t>等于第三项加第四项之和）</w:t>
            </w:r>
          </w:p>
        </w:tc>
        <w:tc>
          <w:tcPr>
            <w:tcW w:w="4288" w:type="dxa"/>
            <w:gridSpan w:val="7"/>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4531"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c>
          <w:tcPr>
            <w:tcW w:w="737"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自然人</w:t>
            </w:r>
          </w:p>
        </w:tc>
        <w:tc>
          <w:tcPr>
            <w:tcW w:w="2793"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法人或其他组织</w:t>
            </w:r>
          </w:p>
        </w:tc>
        <w:tc>
          <w:tcPr>
            <w:tcW w:w="758"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r>
              <w:rPr>
                <w:rFonts w:hint="eastAsia" w:ascii="黑体" w:hAnsi="黑体" w:eastAsia="黑体"/>
                <w:color w:val="auto"/>
                <w:kern w:val="0"/>
                <w:sz w:val="22"/>
                <w:szCs w:val="22"/>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4531" w:type="dxa"/>
            <w:gridSpan w:val="3"/>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c>
          <w:tcPr>
            <w:tcW w:w="737"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color w:val="auto"/>
                <w:sz w:val="22"/>
                <w:szCs w:val="22"/>
              </w:rPr>
            </w:pP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olor w:val="auto"/>
                <w:sz w:val="22"/>
                <w:szCs w:val="22"/>
              </w:rPr>
            </w:pPr>
            <w:r>
              <w:rPr>
                <w:rFonts w:hint="eastAsia" w:ascii="黑体" w:hAnsi="黑体" w:eastAsia="黑体"/>
                <w:color w:val="auto"/>
                <w:kern w:val="0"/>
                <w:sz w:val="22"/>
                <w:szCs w:val="22"/>
              </w:rPr>
              <w:t>商业企业</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olor w:val="auto"/>
                <w:sz w:val="22"/>
                <w:szCs w:val="22"/>
              </w:rPr>
            </w:pPr>
            <w:r>
              <w:rPr>
                <w:rFonts w:hint="eastAsia" w:ascii="黑体" w:hAnsi="黑体" w:eastAsia="黑体"/>
                <w:color w:val="auto"/>
                <w:kern w:val="0"/>
                <w:sz w:val="22"/>
                <w:szCs w:val="22"/>
              </w:rPr>
              <w:t>科研机构</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color w:val="auto"/>
                <w:sz w:val="22"/>
                <w:szCs w:val="22"/>
              </w:rPr>
            </w:pPr>
            <w:r>
              <w:rPr>
                <w:rFonts w:hint="eastAsia" w:ascii="黑体" w:hAnsi="黑体" w:eastAsia="黑体"/>
                <w:color w:val="auto"/>
                <w:kern w:val="0"/>
                <w:sz w:val="22"/>
                <w:szCs w:val="22"/>
              </w:rPr>
              <w:t>社会公益组织</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color w:val="auto"/>
                <w:sz w:val="22"/>
                <w:szCs w:val="22"/>
              </w:rPr>
            </w:pPr>
            <w:r>
              <w:rPr>
                <w:rFonts w:hint="eastAsia" w:ascii="黑体" w:hAnsi="黑体" w:eastAsia="黑体"/>
                <w:color w:val="auto"/>
                <w:kern w:val="0"/>
                <w:sz w:val="22"/>
                <w:szCs w:val="22"/>
              </w:rPr>
              <w:t>法律服务机构</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134" w:rightChars="-64"/>
              <w:jc w:val="center"/>
              <w:textAlignment w:val="auto"/>
              <w:rPr>
                <w:rFonts w:ascii="黑体" w:hAnsi="黑体" w:eastAsia="黑体"/>
                <w:color w:val="auto"/>
                <w:sz w:val="22"/>
                <w:szCs w:val="22"/>
              </w:rPr>
            </w:pPr>
            <w:r>
              <w:rPr>
                <w:rFonts w:hint="eastAsia" w:ascii="黑体" w:hAnsi="黑体" w:eastAsia="黑体"/>
                <w:color w:val="auto"/>
                <w:kern w:val="0"/>
                <w:sz w:val="22"/>
                <w:szCs w:val="22"/>
              </w:rPr>
              <w:t>其他</w:t>
            </w:r>
          </w:p>
        </w:tc>
        <w:tc>
          <w:tcPr>
            <w:tcW w:w="758"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color w:val="auto"/>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一、</w:t>
            </w:r>
            <w:bookmarkStart w:id="0" w:name="_Hlk66973412"/>
            <w:r>
              <w:rPr>
                <w:rFonts w:hint="eastAsia" w:ascii="黑体" w:hAnsi="黑体" w:eastAsia="黑体"/>
                <w:color w:val="auto"/>
                <w:kern w:val="0"/>
                <w:sz w:val="22"/>
                <w:szCs w:val="22"/>
              </w:rPr>
              <w:t>本年新收政府信息公开申请数量</w:t>
            </w:r>
            <w:bookmarkEnd w:id="0"/>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二、上年结转政府信息公开申请数量</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三、本年度办理结果</w:t>
            </w: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（一）予以公开</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r>
              <w:rPr>
                <w:rFonts w:hint="eastAsia" w:ascii="黑体" w:hAnsi="黑体" w:eastAsia="黑体"/>
                <w:color w:val="auto"/>
                <w:kern w:val="0"/>
                <w:sz w:val="22"/>
                <w:szCs w:val="22"/>
              </w:rPr>
              <w:t>（二）部分公开（</w:t>
            </w:r>
            <w:bookmarkStart w:id="1" w:name="_Hlk66973981"/>
            <w:r>
              <w:rPr>
                <w:rFonts w:hint="eastAsia" w:ascii="黑体" w:hAnsi="黑体" w:eastAsia="黑体"/>
                <w:color w:val="auto"/>
                <w:kern w:val="0"/>
                <w:sz w:val="22"/>
                <w:szCs w:val="22"/>
              </w:rPr>
              <w:t>区分处理的，只计这一情形，不计其他情形</w:t>
            </w:r>
            <w:bookmarkEnd w:id="1"/>
            <w:r>
              <w:rPr>
                <w:rFonts w:hint="eastAsia" w:ascii="黑体" w:hAnsi="黑体" w:eastAsia="黑体"/>
                <w:color w:val="auto"/>
                <w:kern w:val="0"/>
                <w:sz w:val="22"/>
                <w:szCs w:val="22"/>
              </w:rPr>
              <w:t>）</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（三）不予公开</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1.属于国家秘密</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w:t>
            </w:r>
            <w:bookmarkStart w:id="2" w:name="_Hlk66974104"/>
            <w:r>
              <w:rPr>
                <w:rFonts w:hint="eastAsia" w:ascii="仿宋_GB2312" w:hAnsi="黑体" w:eastAsia="仿宋_GB2312"/>
                <w:color w:val="auto"/>
                <w:kern w:val="0"/>
                <w:sz w:val="22"/>
                <w:szCs w:val="22"/>
              </w:rPr>
              <w:t>其他法律行政法规禁止公开</w:t>
            </w:r>
            <w:bookmarkEnd w:id="2"/>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3.危及“三安全一稳定”</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4.</w:t>
            </w:r>
            <w:bookmarkStart w:id="3" w:name="_Hlk66974290"/>
            <w:r>
              <w:rPr>
                <w:rFonts w:hint="eastAsia" w:ascii="仿宋_GB2312" w:hAnsi="黑体" w:eastAsia="仿宋_GB2312"/>
                <w:color w:val="auto"/>
                <w:kern w:val="0"/>
                <w:sz w:val="22"/>
                <w:szCs w:val="22"/>
              </w:rPr>
              <w:t>保护第三方合法权益</w:t>
            </w:r>
            <w:bookmarkEnd w:id="3"/>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5.属于三类内部事务信息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6.</w:t>
            </w:r>
            <w:bookmarkStart w:id="4" w:name="_Hlk66974555"/>
            <w:r>
              <w:rPr>
                <w:rFonts w:hint="eastAsia" w:ascii="仿宋_GB2312" w:hAnsi="黑体" w:eastAsia="仿宋_GB2312"/>
                <w:color w:val="auto"/>
                <w:kern w:val="0"/>
                <w:sz w:val="22"/>
                <w:szCs w:val="22"/>
              </w:rPr>
              <w:t>属于四类过程性信息</w:t>
            </w:r>
            <w:bookmarkEnd w:id="4"/>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7.属于行政执法案卷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8.</w:t>
            </w:r>
            <w:bookmarkStart w:id="5" w:name="_Hlk66975211"/>
            <w:r>
              <w:rPr>
                <w:rFonts w:hint="eastAsia" w:ascii="仿宋_GB2312" w:hAnsi="黑体" w:eastAsia="仿宋_GB2312"/>
                <w:color w:val="auto"/>
                <w:kern w:val="0"/>
                <w:sz w:val="22"/>
                <w:szCs w:val="22"/>
              </w:rPr>
              <w:t>属于行政查询事项</w:t>
            </w:r>
            <w:bookmarkEnd w:id="5"/>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（四）无法提供</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1.本机关不掌握相关政府信息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w:t>
            </w:r>
            <w:bookmarkStart w:id="6" w:name="_Hlk66975392"/>
            <w:r>
              <w:rPr>
                <w:rFonts w:hint="eastAsia" w:ascii="仿宋_GB2312" w:hAnsi="黑体" w:eastAsia="仿宋_GB2312"/>
                <w:color w:val="auto"/>
                <w:kern w:val="0"/>
                <w:sz w:val="22"/>
                <w:szCs w:val="22"/>
              </w:rPr>
              <w:t>没有现成信息需要另行制作</w:t>
            </w:r>
            <w:bookmarkEnd w:id="6"/>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3.</w:t>
            </w:r>
            <w:bookmarkStart w:id="7" w:name="_Hlk66975466"/>
            <w:r>
              <w:rPr>
                <w:rFonts w:hint="eastAsia" w:ascii="仿宋_GB2312" w:hAnsi="黑体" w:eastAsia="仿宋_GB2312"/>
                <w:color w:val="auto"/>
                <w:kern w:val="0"/>
                <w:sz w:val="22"/>
                <w:szCs w:val="22"/>
              </w:rPr>
              <w:t>补正后申请内容仍不明确</w:t>
            </w:r>
            <w:bookmarkEnd w:id="7"/>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ascii="仿宋_GB2312" w:hAnsi="Times New Roman" w:eastAsia="仿宋_GB2312"/>
                <w:color w:val="auto"/>
                <w:sz w:val="22"/>
                <w:szCs w:val="22"/>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color w:val="auto"/>
                <w:sz w:val="22"/>
                <w:szCs w:val="22"/>
              </w:rPr>
            </w:pPr>
            <w:r>
              <w:rPr>
                <w:rFonts w:hint="eastAsia" w:ascii="黑体" w:hAnsi="黑体" w:eastAsia="黑体"/>
                <w:color w:val="auto"/>
                <w:kern w:val="0"/>
                <w:sz w:val="22"/>
                <w:szCs w:val="22"/>
              </w:rPr>
              <w:t>（五）不予处理</w:t>
            </w: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1.</w:t>
            </w:r>
            <w:bookmarkStart w:id="8" w:name="_Hlk66975537"/>
            <w:r>
              <w:rPr>
                <w:rFonts w:hint="eastAsia" w:ascii="仿宋_GB2312" w:hAnsi="黑体" w:eastAsia="仿宋_GB2312"/>
                <w:color w:val="auto"/>
                <w:kern w:val="0"/>
                <w:sz w:val="22"/>
                <w:szCs w:val="22"/>
              </w:rPr>
              <w:t>信访举报投诉类申请</w:t>
            </w:r>
            <w:bookmarkEnd w:id="8"/>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2.重复申请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0"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3.要求提供公开出版物</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2" w:hRule="exac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4.无正当理由大量反复申请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07"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2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黑体" w:eastAsia="仿宋_GB2312"/>
                <w:color w:val="auto"/>
                <w:kern w:val="0"/>
                <w:sz w:val="22"/>
                <w:szCs w:val="22"/>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220" w:firstLineChars="100"/>
              <w:textAlignment w:val="auto"/>
              <w:rPr>
                <w:rFonts w:ascii="仿宋_GB2312" w:hAnsi="黑体" w:eastAsia="仿宋_GB2312"/>
                <w:color w:val="auto"/>
                <w:sz w:val="22"/>
                <w:szCs w:val="22"/>
              </w:rPr>
            </w:pPr>
            <w:r>
              <w:rPr>
                <w:rFonts w:hint="eastAsia" w:ascii="仿宋_GB2312" w:hAnsi="黑体" w:eastAsia="仿宋_GB2312"/>
                <w:color w:val="auto"/>
                <w:kern w:val="0"/>
                <w:sz w:val="22"/>
                <w:szCs w:val="22"/>
              </w:rPr>
              <w:t>出具已获取信息</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（六）其他处理</w:t>
            </w: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楷体" w:eastAsia="仿宋_GB2312"/>
                <w:color w:val="auto"/>
                <w:sz w:val="22"/>
                <w:szCs w:val="28"/>
              </w:rPr>
            </w:pPr>
            <w:r>
              <w:rPr>
                <w:rFonts w:hint="eastAsia" w:ascii="仿宋_GB2312" w:hAnsi="楷体" w:eastAsia="仿宋_GB2312"/>
                <w:color w:val="auto"/>
                <w:sz w:val="22"/>
                <w:szCs w:val="28"/>
              </w:rPr>
              <w:t>1.申请人无正当理由逾期不补正、行政机关不再处理其政府信息公开申请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650"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楷体" w:eastAsia="仿宋_GB2312"/>
                <w:color w:val="auto"/>
                <w:sz w:val="22"/>
                <w:szCs w:val="28"/>
              </w:rPr>
              <w:t>2.申请人逾期未按收费通知要求缴纳费用、行政机关不再处理其政府信息公开申请</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1513" w:type="dxa"/>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p>
        </w:tc>
        <w:tc>
          <w:tcPr>
            <w:tcW w:w="264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color w:val="auto"/>
                <w:kern w:val="0"/>
                <w:sz w:val="22"/>
                <w:szCs w:val="22"/>
              </w:rPr>
            </w:pPr>
            <w:r>
              <w:rPr>
                <w:rFonts w:hint="eastAsia" w:ascii="仿宋_GB2312" w:hAnsi="楷体" w:eastAsia="仿宋_GB2312"/>
                <w:color w:val="auto"/>
                <w:sz w:val="22"/>
                <w:szCs w:val="28"/>
              </w:rPr>
              <w:t>3.其他</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olor w:val="auto"/>
                <w:sz w:val="22"/>
                <w:szCs w:val="22"/>
                <w:lang w:val="en-US" w:eastAsia="zh-CN"/>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369"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color w:val="auto"/>
                <w:sz w:val="22"/>
                <w:szCs w:val="22"/>
              </w:rPr>
            </w:pPr>
          </w:p>
        </w:tc>
        <w:tc>
          <w:tcPr>
            <w:tcW w:w="4162"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（七）总计</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4" w:hRule="atLeast"/>
          <w:jc w:val="center"/>
        </w:trPr>
        <w:tc>
          <w:tcPr>
            <w:tcW w:w="4531" w:type="dxa"/>
            <w:gridSpan w:val="3"/>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color w:val="auto"/>
                <w:kern w:val="0"/>
                <w:sz w:val="22"/>
                <w:szCs w:val="22"/>
              </w:rPr>
            </w:pPr>
            <w:r>
              <w:rPr>
                <w:rFonts w:hint="eastAsia" w:ascii="黑体" w:hAnsi="黑体" w:eastAsia="黑体"/>
                <w:color w:val="auto"/>
                <w:kern w:val="0"/>
                <w:sz w:val="22"/>
                <w:szCs w:val="22"/>
              </w:rPr>
              <w:t>四、结转下年度继续办理</w:t>
            </w:r>
          </w:p>
        </w:tc>
        <w:tc>
          <w:tcPr>
            <w:tcW w:w="73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4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6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50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c>
          <w:tcPr>
            <w:tcW w:w="75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240" w:lineRule="auto"/>
              <w:jc w:val="center"/>
              <w:textAlignment w:val="auto"/>
              <w:rPr>
                <w:rFonts w:hint="eastAsia" w:ascii="仿宋_GB2312" w:hAnsi="Times New Roman" w:eastAsia="仿宋_GB2312" w:cstheme="minorBidi"/>
                <w:color w:val="auto"/>
                <w:kern w:val="2"/>
                <w:sz w:val="22"/>
                <w:szCs w:val="22"/>
                <w:lang w:val="en-US" w:eastAsia="zh-CN" w:bidi="ar-SA"/>
              </w:rPr>
            </w:pPr>
            <w:r>
              <w:rPr>
                <w:rFonts w:hint="eastAsia" w:ascii="仿宋_GB2312" w:hAnsi="Times New Roman"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600" w:lineRule="exact"/>
        <w:jc w:val="both"/>
        <w:textAlignment w:val="auto"/>
        <w:rPr>
          <w:rFonts w:ascii="仿宋_GB2312" w:eastAsia="仿宋_GB2312"/>
          <w:color w:val="auto"/>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四、因政府信息公开工作被申请行政复议、提起行政诉讼情况统计表</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49" w:leftChars="-71" w:right="-170" w:rightChars="-81"/>
              <w:jc w:val="center"/>
              <w:textAlignment w:val="auto"/>
              <w:rPr>
                <w:rFonts w:ascii="黑体" w:hAnsi="黑体" w:eastAsia="黑体"/>
                <w:color w:val="auto"/>
              </w:rPr>
            </w:pPr>
            <w:r>
              <w:rPr>
                <w:rFonts w:ascii="黑体" w:hAnsi="黑体" w:eastAsia="黑体"/>
                <w:color w:val="auto"/>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43" w:leftChars="-21" w:right="-132" w:rightChars="-63" w:hanging="1"/>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2" w:leftChars="-39" w:right="-97" w:rightChars="-46"/>
              <w:jc w:val="center"/>
              <w:textAlignment w:val="auto"/>
              <w:rPr>
                <w:rFonts w:ascii="黑体" w:hAnsi="黑体" w:eastAsia="黑体"/>
                <w:color w:val="auto"/>
              </w:rPr>
            </w:pPr>
            <w:r>
              <w:rPr>
                <w:rFonts w:ascii="黑体" w:hAnsi="黑体" w:eastAsia="黑体"/>
                <w:color w:val="auto"/>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18" w:leftChars="-56" w:right="-118" w:rightChars="-56"/>
              <w:jc w:val="center"/>
              <w:textAlignment w:val="auto"/>
              <w:rPr>
                <w:rFonts w:ascii="黑体" w:hAnsi="黑体" w:eastAsia="黑体"/>
                <w:color w:val="auto"/>
              </w:rPr>
            </w:pPr>
            <w:r>
              <w:rPr>
                <w:rFonts w:ascii="黑体" w:hAnsi="黑体" w:eastAsia="黑体"/>
                <w:color w:val="auto"/>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kern w:val="0"/>
                <w:sz w:val="20"/>
                <w:szCs w:val="20"/>
              </w:rPr>
            </w:pPr>
            <w:r>
              <w:rPr>
                <w:rFonts w:ascii="黑体" w:hAnsi="黑体" w:eastAsia="黑体"/>
                <w:color w:val="auto"/>
                <w:kern w:val="0"/>
                <w:sz w:val="20"/>
                <w:szCs w:val="20"/>
              </w:rPr>
              <w:t>总</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bookmarkStart w:id="9" w:name="_Hlk67039688"/>
            <w:r>
              <w:rPr>
                <w:rFonts w:ascii="黑体" w:hAnsi="黑体" w:eastAsia="黑体"/>
                <w:color w:val="auto"/>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ascii="黑体" w:hAnsi="黑体" w:eastAsia="黑体"/>
                <w:color w:val="auto"/>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05" w:leftChars="-50" w:right="-126" w:rightChars="-60"/>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86" w:leftChars="-41" w:right="-88" w:rightChars="-42"/>
              <w:jc w:val="center"/>
              <w:textAlignment w:val="auto"/>
              <w:rPr>
                <w:rFonts w:ascii="黑体" w:hAnsi="黑体" w:eastAsia="黑体"/>
                <w:color w:val="auto"/>
              </w:rPr>
            </w:pPr>
            <w:r>
              <w:rPr>
                <w:rFonts w:ascii="黑体" w:hAnsi="黑体" w:eastAsia="黑体"/>
                <w:color w:val="auto"/>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26" w:leftChars="-60" w:right="-136" w:rightChars="-65"/>
              <w:jc w:val="center"/>
              <w:textAlignment w:val="auto"/>
              <w:rPr>
                <w:rFonts w:ascii="黑体" w:hAnsi="黑体" w:eastAsia="黑体"/>
                <w:color w:val="auto"/>
              </w:rPr>
            </w:pPr>
            <w:r>
              <w:rPr>
                <w:rFonts w:ascii="黑体" w:hAnsi="黑体" w:eastAsia="黑体"/>
                <w:color w:val="auto"/>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kern w:val="0"/>
                <w:sz w:val="20"/>
                <w:szCs w:val="20"/>
              </w:rPr>
            </w:pPr>
            <w:r>
              <w:rPr>
                <w:rFonts w:ascii="黑体" w:hAnsi="黑体" w:eastAsia="黑体"/>
                <w:color w:val="auto"/>
                <w:kern w:val="0"/>
                <w:sz w:val="20"/>
                <w:szCs w:val="20"/>
              </w:rPr>
              <w:t>尚未</w:t>
            </w:r>
          </w:p>
          <w:p>
            <w:pPr>
              <w:keepNext w:val="0"/>
              <w:keepLines w:val="0"/>
              <w:pageBreakBefore w:val="0"/>
              <w:widowControl/>
              <w:kinsoku/>
              <w:wordWrap/>
              <w:overflowPunct/>
              <w:topLinePunct w:val="0"/>
              <w:autoSpaceDE/>
              <w:autoSpaceDN/>
              <w:bidi w:val="0"/>
              <w:adjustRightInd/>
              <w:snapToGrid/>
              <w:spacing w:line="600" w:lineRule="exact"/>
              <w:ind w:left="-164" w:leftChars="-78" w:right="-153" w:rightChars="-73"/>
              <w:jc w:val="center"/>
              <w:textAlignment w:val="auto"/>
              <w:rPr>
                <w:rFonts w:ascii="黑体" w:hAnsi="黑体" w:eastAsia="黑体"/>
                <w:color w:val="auto"/>
              </w:rPr>
            </w:pPr>
            <w:r>
              <w:rPr>
                <w:rFonts w:ascii="黑体" w:hAnsi="黑体" w:eastAsia="黑体"/>
                <w:color w:val="auto"/>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99" w:leftChars="-47" w:right="-78" w:rightChars="-37"/>
              <w:jc w:val="center"/>
              <w:textAlignment w:val="auto"/>
              <w:rPr>
                <w:rFonts w:ascii="黑体" w:hAnsi="黑体" w:eastAsia="黑体"/>
                <w:color w:val="auto"/>
              </w:rPr>
            </w:pPr>
            <w:r>
              <w:rPr>
                <w:rFonts w:ascii="黑体" w:hAnsi="黑体" w:eastAsia="黑体"/>
                <w:color w:val="auto"/>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kern w:val="0"/>
                <w:sz w:val="20"/>
                <w:szCs w:val="20"/>
              </w:rPr>
            </w:pPr>
            <w:r>
              <w:rPr>
                <w:rFonts w:ascii="黑体" w:hAnsi="黑体" w:eastAsia="黑体"/>
                <w:color w:val="auto"/>
                <w:kern w:val="0"/>
                <w:sz w:val="20"/>
                <w:szCs w:val="20"/>
              </w:rPr>
              <w:t>结果</w:t>
            </w:r>
          </w:p>
          <w:p>
            <w:pPr>
              <w:keepNext w:val="0"/>
              <w:keepLines w:val="0"/>
              <w:pageBreakBefore w:val="0"/>
              <w:widowControl/>
              <w:kinsoku/>
              <w:wordWrap/>
              <w:overflowPunct/>
              <w:topLinePunct w:val="0"/>
              <w:autoSpaceDE/>
              <w:autoSpaceDN/>
              <w:bidi w:val="0"/>
              <w:adjustRightInd/>
              <w:snapToGrid/>
              <w:spacing w:line="600" w:lineRule="exact"/>
              <w:ind w:left="-136" w:leftChars="-65" w:right="-124" w:rightChars="-59"/>
              <w:jc w:val="center"/>
              <w:textAlignment w:val="auto"/>
              <w:rPr>
                <w:rFonts w:ascii="黑体" w:hAnsi="黑体" w:eastAsia="黑体"/>
                <w:color w:val="auto"/>
              </w:rPr>
            </w:pPr>
            <w:r>
              <w:rPr>
                <w:rFonts w:ascii="黑体" w:hAnsi="黑体" w:eastAsia="黑体"/>
                <w:color w:val="auto"/>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kern w:val="0"/>
                <w:sz w:val="20"/>
                <w:szCs w:val="20"/>
              </w:rPr>
            </w:pPr>
            <w:r>
              <w:rPr>
                <w:rFonts w:ascii="黑体" w:hAnsi="黑体" w:eastAsia="黑体"/>
                <w:color w:val="auto"/>
                <w:kern w:val="0"/>
                <w:sz w:val="20"/>
                <w:szCs w:val="20"/>
              </w:rPr>
              <w:t>其他</w:t>
            </w:r>
          </w:p>
          <w:p>
            <w:pPr>
              <w:keepNext w:val="0"/>
              <w:keepLines w:val="0"/>
              <w:pageBreakBefore w:val="0"/>
              <w:widowControl/>
              <w:kinsoku/>
              <w:wordWrap/>
              <w:overflowPunct/>
              <w:topLinePunct w:val="0"/>
              <w:autoSpaceDE/>
              <w:autoSpaceDN/>
              <w:bidi w:val="0"/>
              <w:adjustRightInd/>
              <w:snapToGrid/>
              <w:spacing w:line="600" w:lineRule="exact"/>
              <w:ind w:left="-173" w:leftChars="-83" w:right="-134" w:rightChars="-64" w:hanging="1"/>
              <w:jc w:val="center"/>
              <w:textAlignment w:val="auto"/>
              <w:rPr>
                <w:rFonts w:ascii="黑体" w:hAnsi="黑体" w:eastAsia="黑体"/>
                <w:color w:val="auto"/>
              </w:rPr>
            </w:pPr>
            <w:r>
              <w:rPr>
                <w:rFonts w:ascii="黑体" w:hAnsi="黑体" w:eastAsia="黑体"/>
                <w:color w:val="auto"/>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ind w:left="-67" w:leftChars="-33" w:right="-105" w:rightChars="-50" w:hanging="2" w:hangingChars="1"/>
              <w:jc w:val="center"/>
              <w:textAlignment w:val="auto"/>
              <w:rPr>
                <w:rFonts w:ascii="黑体" w:hAnsi="黑体" w:eastAsia="黑体"/>
                <w:color w:val="auto"/>
              </w:rPr>
            </w:pPr>
            <w:r>
              <w:rPr>
                <w:rFonts w:ascii="黑体" w:hAnsi="黑体" w:eastAsia="黑体"/>
                <w:color w:val="auto"/>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黑体" w:hAnsi="黑体" w:eastAsia="黑体"/>
                <w:color w:val="auto"/>
              </w:rPr>
            </w:pPr>
            <w:r>
              <w:rPr>
                <w:rFonts w:ascii="黑体" w:hAnsi="黑体" w:eastAsia="黑体"/>
                <w:color w:val="auto"/>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6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color w:val="auto"/>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jc w:val="both"/>
        <w:textAlignment w:val="auto"/>
        <w:rPr>
          <w:rFonts w:ascii="黑体" w:hAnsi="宋体" w:eastAsia="黑体" w:cs="黑体"/>
          <w:i w:val="0"/>
          <w:iCs w:val="0"/>
          <w:caps w:val="0"/>
          <w:color w:val="auto"/>
          <w:spacing w:val="0"/>
          <w:sz w:val="32"/>
          <w:szCs w:val="32"/>
          <w:shd w:val="clear" w:fill="FFFFFF"/>
        </w:rPr>
      </w:pPr>
      <w:r>
        <w:rPr>
          <w:rFonts w:ascii="黑体" w:hAnsi="宋体" w:eastAsia="黑体" w:cs="黑体"/>
          <w:i w:val="0"/>
          <w:iCs w:val="0"/>
          <w:caps w:val="0"/>
          <w:color w:val="auto"/>
          <w:spacing w:val="0"/>
          <w:sz w:val="32"/>
          <w:szCs w:val="32"/>
          <w:shd w:val="clear" w:fill="FFFFFF"/>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年，我局政府信息公开和重点工作公开工作</w:t>
      </w:r>
      <w:r>
        <w:rPr>
          <w:rFonts w:hint="eastAsia" w:ascii="仿宋_GB2312" w:hAnsi="仿宋_GB2312" w:eastAsia="仿宋_GB2312" w:cs="仿宋_GB2312"/>
          <w:i w:val="0"/>
          <w:iCs w:val="0"/>
          <w:caps w:val="0"/>
          <w:color w:val="auto"/>
          <w:spacing w:val="0"/>
          <w:sz w:val="32"/>
          <w:szCs w:val="32"/>
          <w:shd w:val="clear" w:fill="FFFFFF"/>
          <w:lang w:eastAsia="zh-CN"/>
        </w:rPr>
        <w:t>较</w:t>
      </w:r>
      <w:r>
        <w:rPr>
          <w:rFonts w:hint="eastAsia" w:ascii="仿宋_GB2312" w:hAnsi="仿宋_GB2312" w:eastAsia="仿宋_GB2312" w:cs="仿宋_GB2312"/>
          <w:i w:val="0"/>
          <w:iCs w:val="0"/>
          <w:caps w:val="0"/>
          <w:color w:val="auto"/>
          <w:spacing w:val="0"/>
          <w:sz w:val="32"/>
          <w:szCs w:val="32"/>
          <w:shd w:val="clear" w:fill="FFFFFF"/>
          <w:lang w:val="en-US" w:eastAsia="zh-CN"/>
        </w:rPr>
        <w:t>2021年有明显进步，</w:t>
      </w:r>
      <w:r>
        <w:rPr>
          <w:rFonts w:hint="eastAsia" w:ascii="仿宋_GB2312" w:hAnsi="仿宋_GB2312" w:eastAsia="仿宋_GB2312" w:cs="仿宋_GB2312"/>
          <w:i w:val="0"/>
          <w:iCs w:val="0"/>
          <w:caps w:val="0"/>
          <w:color w:val="auto"/>
          <w:spacing w:val="0"/>
          <w:sz w:val="32"/>
          <w:szCs w:val="32"/>
          <w:shd w:val="clear" w:fill="FFFFFF"/>
        </w:rPr>
        <w:t>但相对上级的要求和公众的期望，还存在一些不足，主要是主动公开的内容还需进一步规范和扩展，信息公开的载体和形式还需要进一步丰富</w:t>
      </w:r>
      <w:r>
        <w:rPr>
          <w:rFonts w:hint="eastAsia" w:ascii="仿宋_GB2312" w:hAnsi="仿宋_GB2312" w:eastAsia="仿宋_GB2312" w:cs="仿宋_GB2312"/>
          <w:i w:val="0"/>
          <w:iCs w:val="0"/>
          <w:caps w:val="0"/>
          <w:color w:val="auto"/>
          <w:spacing w:val="0"/>
          <w:sz w:val="32"/>
          <w:szCs w:val="32"/>
          <w:shd w:val="clear" w:fill="FFFFFF"/>
          <w:lang w:eastAsia="zh-CN"/>
        </w:rPr>
        <w:t>，部门文件需及时上传。</w:t>
      </w:r>
      <w:r>
        <w:rPr>
          <w:rFonts w:hint="eastAsia" w:ascii="仿宋_GB2312" w:hAnsi="仿宋_GB2312" w:eastAsia="仿宋_GB2312" w:cs="仿宋_GB2312"/>
          <w:i w:val="0"/>
          <w:iCs w:val="0"/>
          <w:caps w:val="0"/>
          <w:color w:val="auto"/>
          <w:spacing w:val="0"/>
          <w:sz w:val="32"/>
          <w:szCs w:val="32"/>
          <w:shd w:val="clear" w:fill="FFFFFF"/>
        </w:rPr>
        <w:t>针对上述不足，我们将深入贯彻落实《条例》，进一步加强政府信息公开工作。一是不断强化制度建设和服务意识，依托政府信息公开，持续增强服务项目、服务群众的时效性和实效性。二是丰富公开形式，进一步加强网站专栏建设，拓宽信息公开渠道。三是加大对政府信息公开工作的监督、检查力度，创新和完善监督的方式方法，使政府信息公开工作更好地接受社会和群众的监督，促进各项工作有序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600" w:lineRule="exact"/>
        <w:ind w:left="0" w:right="0" w:firstLine="43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eastAsia="zh-CN"/>
        </w:rPr>
        <w:t>收取信息处理费情况方面。本年度政府信息公开申请未达到《政府信息公开信息处理费管理办法》（国办函〔2020〕109号）所规定的信息处理费收费标准，故未收取信息处理费。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落实上级年度政务公开工作要点情况。落实上级年度政务公开工作要点情况。对照《薛城区2022年政务公开政务公开工作要点》，围绕重点领域信息公开、政策发布解读、基层政务公开标准化规范化建设和工作保障和落实逐项明确责任主体和完成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、人大代表建议和政协提案办理情况方面。2022年，薛城区退役军人事务局无人大代表建议及区政协提案。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、开展政务公开创新方面。薛城区退役军人事务局将按时落实政务公开要求，结合实际工作，及时更新相关事项及政策，并更新公开形式。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eastAsia="zh-CN"/>
        </w:rPr>
        <w:t>、本单位政府信息公开工作年度报告数据统计需要说明的事项：无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6</w:t>
      </w:r>
      <w:r>
        <w:rPr>
          <w:rFonts w:hint="eastAsia" w:ascii="仿宋_GB2312" w:hAnsi="仿宋_GB2312" w:eastAsia="仿宋_GB2312" w:cs="仿宋_GB2312"/>
          <w:i w:val="0"/>
          <w:iCs w:val="0"/>
          <w:caps w:val="0"/>
          <w:color w:val="auto"/>
          <w:spacing w:val="0"/>
          <w:sz w:val="32"/>
          <w:szCs w:val="32"/>
          <w:shd w:val="clear" w:fill="FFFFFF"/>
          <w:lang w:eastAsia="zh-CN"/>
        </w:rPr>
        <w:t>、其他有关文件专门要求通过政府信息公开工作年度报告予以报告的事项：无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7、本年度报告的电子版可以在“薛城区政府门户网站”（http://xxgk.xuecheng.gov.cn/xxgknb/2022xxgknb/)下载。如对本报告有疑问，可与薛城区退役军人事务局联系(地址:枣庄市薛城区泰山南路与钱江路交汇处北200米路西，邮编：277000 ，电话：0632—4483156，电子邮箱：xcqtyjrswj@zz.shandong.cn)。</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eastAsia="zh-CN"/>
        </w:rPr>
        <w:t>薛城区退役军人事务局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2023年1月19日</w:t>
      </w:r>
    </w:p>
    <w:sectPr>
      <w:pgSz w:w="11906" w:h="16838"/>
      <w:pgMar w:top="1440" w:right="1786"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文泉驿微米黑">
    <w:panose1 w:val="020B0606030804020204"/>
    <w:charset w:val="86"/>
    <w:family w:val="auto"/>
    <w:pitch w:val="default"/>
    <w:sig w:usb0="E10002EF" w:usb1="6BDFFCFB" w:usb2="00800036" w:usb3="00000000" w:csb0="603E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CB8CE"/>
    <w:multiLevelType w:val="singleLevel"/>
    <w:tmpl w:val="166CB8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Tg4M2IzM2FkZjdmY2M5NTRlYTA2MTQzMzk5MmYifQ=="/>
  </w:docVars>
  <w:rsids>
    <w:rsidRoot w:val="00000000"/>
    <w:rsid w:val="04B771A0"/>
    <w:rsid w:val="09A529FC"/>
    <w:rsid w:val="0C8068A0"/>
    <w:rsid w:val="13A76E68"/>
    <w:rsid w:val="23823183"/>
    <w:rsid w:val="28A06FB3"/>
    <w:rsid w:val="28B91BDA"/>
    <w:rsid w:val="2A946947"/>
    <w:rsid w:val="3FAB8071"/>
    <w:rsid w:val="4C100167"/>
    <w:rsid w:val="4FAE46C5"/>
    <w:rsid w:val="50E078C5"/>
    <w:rsid w:val="55E934E2"/>
    <w:rsid w:val="56FE56FC"/>
    <w:rsid w:val="5FCF0FE2"/>
    <w:rsid w:val="6F41763D"/>
    <w:rsid w:val="73BD425E"/>
    <w:rsid w:val="7A097584"/>
    <w:rsid w:val="7AB07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2475</Words>
  <Characters>2634</Characters>
  <Lines>0</Lines>
  <Paragraphs>0</Paragraphs>
  <TotalTime>131</TotalTime>
  <ScaleCrop>false</ScaleCrop>
  <LinksUpToDate>false</LinksUpToDate>
  <CharactersWithSpaces>2680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2021-09-23T16:11:00Z</dcterms:created>
  <dc:creator>Administrator</dc:creator>
  <cp:lastModifiedBy>user</cp:lastModifiedBy>
  <cp:lastPrinted>2023-01-16T08:54:00Z</cp:lastPrinted>
  <dcterms:modified xsi:type="dcterms:W3CDTF">2023-02-22T19:31:52Z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A3B00BEE7C7B44529E5DF0B49D4F6525</vt:lpwstr>
  </property>
</Properties>
</file>